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i w:val="0"/>
          <w:caps w:val="0"/>
          <w:color w:val="333333"/>
          <w:spacing w:val="0"/>
          <w:sz w:val="44"/>
          <w:szCs w:val="44"/>
          <w:shd w:val="clear" w:fill="FFFFFF"/>
          <w:lang w:val="en-US" w:eastAsia="zh-CN"/>
        </w:rPr>
      </w:pPr>
    </w:p>
    <w:p>
      <w:pPr>
        <w:pStyle w:val="17"/>
        <w:rPr>
          <w:rFonts w:hint="eastAsia" w:ascii="宋体" w:hAnsi="宋体" w:eastAsia="宋体" w:cs="宋体"/>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云南省医疗保障局  云南省卫生健康委员会</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关于印发《推进全省DRG付费改革工作</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实施方案》的通知</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楷体_GB2312" w:hAnsi="楷体_GB2312" w:eastAsia="楷体_GB2312" w:cs="楷体_GB2312"/>
          <w:i w:val="0"/>
          <w:caps w:val="0"/>
          <w:color w:val="333333"/>
          <w:spacing w:val="0"/>
          <w:sz w:val="32"/>
          <w:szCs w:val="32"/>
          <w:shd w:val="clear" w:fill="FFFFFF"/>
          <w:lang w:val="en-US" w:eastAsia="zh-CN"/>
        </w:rPr>
      </w:pPr>
      <w:r>
        <w:rPr>
          <w:rFonts w:hint="default" w:ascii="楷体_GB2312" w:hAnsi="楷体_GB2312" w:eastAsia="楷体_GB2312" w:cs="楷体_GB2312"/>
          <w:i w:val="0"/>
          <w:caps w:val="0"/>
          <w:color w:val="333333"/>
          <w:spacing w:val="0"/>
          <w:sz w:val="32"/>
          <w:szCs w:val="32"/>
          <w:shd w:val="clear" w:fill="FFFFFF"/>
          <w:lang w:val="en-US" w:eastAsia="zh-CN"/>
        </w:rPr>
        <w:t>云医保〔2019〕166号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各州（市）医疗保障局、卫生健康委员会：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为贯彻落实党中央、国务院的决策部署以及国家医疗保障局关于支付方式改革的要求，结合我省工作实际，经研究，现将《推进全省DRG付费改革工作实施方案》印发给你们，请遵照执行。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云南省医疗保障局     云南省卫生健康委员会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                     2019年12月</w:t>
      </w:r>
      <w:r>
        <w:rPr>
          <w:rFonts w:hint="eastAsia" w:ascii="仿宋_GB2312" w:hAnsi="仿宋_GB2312" w:eastAsia="仿宋_GB2312" w:cs="仿宋_GB2312"/>
          <w:i w:val="0"/>
          <w:caps w:val="0"/>
          <w:color w:val="333333"/>
          <w:spacing w:val="0"/>
          <w:sz w:val="32"/>
          <w:szCs w:val="32"/>
          <w:shd w:val="clear" w:fill="FFFFFF"/>
          <w:lang w:val="en-US" w:eastAsia="zh-CN"/>
        </w:rPr>
        <w:t>28</w:t>
      </w:r>
      <w:r>
        <w:rPr>
          <w:rFonts w:hint="default" w:ascii="仿宋_GB2312" w:hAnsi="仿宋_GB2312" w:eastAsia="仿宋_GB2312" w:cs="仿宋_GB2312"/>
          <w:i w:val="0"/>
          <w:caps w:val="0"/>
          <w:color w:val="333333"/>
          <w:spacing w:val="0"/>
          <w:sz w:val="32"/>
          <w:szCs w:val="32"/>
          <w:shd w:val="clear" w:fill="FFFFFF"/>
          <w:lang w:val="en-US" w:eastAsia="zh-CN"/>
        </w:rPr>
        <w:t>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caps w:val="0"/>
          <w:color w:val="333333"/>
          <w:spacing w:val="0"/>
          <w:sz w:val="44"/>
          <w:szCs w:val="44"/>
          <w:shd w:val="clear" w:fill="FFFFFF"/>
          <w:lang w:val="en-US" w:eastAsia="zh-CN"/>
        </w:rPr>
      </w:pPr>
    </w:p>
    <w:p>
      <w:pPr>
        <w:pStyle w:val="17"/>
        <w:keepNext w:val="0"/>
        <w:keepLines w:val="0"/>
        <w:pageBreakBefore w:val="0"/>
        <w:widowControl w:val="0"/>
        <w:kinsoku/>
        <w:wordWrap/>
        <w:overflowPunct/>
        <w:topLinePunct w:val="0"/>
        <w:bidi w:val="0"/>
        <w:snapToGrid/>
        <w:ind w:firstLine="0" w:firstLineChars="0"/>
        <w:jc w:val="center"/>
        <w:textAlignment w:val="auto"/>
        <w:rPr>
          <w:rFonts w:hint="eastAsia" w:ascii="宋体" w:hAnsi="宋体" w:eastAsia="宋体" w:cs="宋体"/>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44"/>
          <w:szCs w:val="44"/>
          <w:shd w:val="clear" w:fill="FFFFFF"/>
          <w:lang w:val="en-US" w:eastAsia="zh-CN"/>
        </w:rPr>
        <w:t>推进全省DRG付费改革工作实施方案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为贯彻落实《国务院办公厅关于进一步深化基本医疗保险支付方式改革的指导意见》（国办发〔2017〕55号）、《云南省人民政府办公厅关于推进基本医疗保险支付方式改革的实施意见》（云政办发〔2017〕98号）精神，扎实推进我省医保支付改革工作，探索建立适合我省医疗服务体系和医保管理能力的付费体系，制定实施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一、总体要求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改革目标。在国家医保局统一指导下，结合实际推进DRG付费改革，逐步建立以保证质量、控制成本、规范诊疗、提高医务人员积极性为核心的付费和绩效管理体系，发挥医保支付的激励约束作用。实现“完善一套政策、培养一支队伍、打造一个样板”的目标。力争2020年统一省本级和昆明市DRG付费分组标准；2021年全省不少于10个州（市）开展DRG付费改革工作；2022年统一全省DRG付费分组规则和标准，群众就医满意度不断提高，医保基金预算更加合理、分类方法更加科学、协同保障更加有力、资源配置更加有效的医保支付体系全面建成，探索符合中医药服务特点的支付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（一）基本原则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1．因地制宜，探索支付方式改革。推进制度规范、标准互认、信息互通、资源共享，充分考虑基金支付能力、医保管理水平、医疗服务特点等因素，不断完善符合本地实际的医保支付方式。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科学测算，确保基金安全稳定。健全基金分析研判机制，制定科学监测指标，对参保人员结构变化、基金收支平衡、医保支付方式改革、待遇支付水平等影响基金运行的因素进行全面评估，加强对基金风险的预警预判，强化收支预算，合理控制统筹基金累计结余水平，确保基金安全、稳定、可持续运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3．规范流程，建立质量控制体系。坚持实事求是，依托专家团队，规范质控行为、提高质控质量、明确质控责任，建立标准化、规范化、常态化的质量控制标准和流程。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4．完善考核，提高资金使用效率。坚持以收定支、收支平衡、略有结余，不断提高医保基金使用绩效，着力保障参保人员基本医疗需求，促进医疗卫生资源合理利用，防止过度医疗，筑牢保障底线。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统分结合，形成试点工作合力。兼顾各地实际，坚持国家和省确定改革方向，制定试点标准，完善政策和配套管理办法，鼓励各试点地区将符合条件的医疗机构纳入试点范围，将支付方式改革作为推进医疗、医保、医药等联动改革的综合平台，发挥部门合力，多措并举，实现政策叠加效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二、工作推进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在国家及省统一指导下，按照“顶层设计、模拟运行、实际付费”三步走的思路，开展按疾病诊断相关分组（DRG）付费改革。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组建专家团队。组织全省专家力量成立推进疾病诊断相关分组（DRG）付费试点技术指导组，研究制定云南省疾病诊断相关分组（DRG）付费有关技术标准、配套政策；建立专家团队值守机制，指导医院规范采集医保结算清单、优化信息系统、对接15个标准、优化临床路径、建立动态维护机制等工作；指导各级医保经办机构和医院做好医保业务信息15个标准信息维护工作，按要求与国家医疗保障信息系统对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细化本地分组。以国家医疗保障局公布的主要诊断分类（MDC）和核心DRG分组（ADRG）为基础，按照统一分组规则细化调整本地分组、制定各组具体权重和费率，随着试点推进，根据国家版分组要求，进一步调整完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临床模拟运行。在推进疾病诊断相关分组（DRG）付费试点技术指导组指导下，根据初步形成的我省DRG付费分组方案，启动模拟运行，对符合条件的医疗机构进行城镇职工医保和城乡居民医保住院医疗费用模拟结算。模拟运行期间，按月收集整理各项数据报送推进疾病诊断相关分组（DRG）付费试点技术指导组，修正和完善DRG分组规范和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开展实际付费。以昆明地区为试点，在符合条件的医院进行DRG付费实际结算。结合云南省医保结算清单大数据，制定开展DRG付费相关分组标准、支付权重，完善质控监管制度、考核标准，建立DRG付费规范动态调整机制和医保、卫生行政管理部门、医疗机构三方协作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（五）实现全省统一。充分应用全省各地开展DRG付费改革经验，根据实际付费情况，完善DRG付费分组标准和政策体系，制定符合我省实际的DRG分组规则和标准，通过3年时间实行全省统一。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三、保障措施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分类开展培训。以技术指导组专家团队力量为核心，组建支付方式改革骨干专家师资队伍，参加由国家组织的专项培训，针对全省医保部门业务骨干人员、卫生行政管理部门及医疗机构相关人员进行DRG基础理论知识和DRG付费相关技术规范培训。完善DRG分组、权重、费率以及付费管理的技术路径，分层分类对医保经办机构、医疗机构涉及15个医保业务信息标准化的人员进行标准化、规范化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做好数据传输。推进各医疗机构按照国家医疗保障局发布的业务信息标准做好信息化系统改造工作，按标准采集医保结算清单数据，提高医院数据质量，推动医保、医疗、医药数据信息共享。对不按时传送医保结算清单数据的医疗机构，可暂停医疗保险费用结算。对篡改医保结算清单数据、弄虚作假、套取医疗保险基金的情况，将按《社会保险法》及医疗保险有关规定严肃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强化责任督导。建立全省医疗保障系统综合协调工作机制，加强沟通交流，形成合力，协同推动医保支付方式改革向纵深发展。认真落实责任，从完善政策体系、统一疾病编码、建立考核制度出发，将改革工作做实做细。建立定期报告工作机制，做好各主要工作环节的阶段性评估工作并及时上报；建立并完善评比通报制度，针对改革过程中出现的新情况、新问题，以汇报、抽查等方式不定时组织督导。总结完善实施过程中存在的不足，推广先进经验和做法，提出扩大范围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加大宣传力度。进一步加强宣传，使医疗机构、医务人员和人民群众充分理解DRG付费改革在提高医疗资源的使用效率、改善医疗服务可及性、提高医务人员积极性方面的重要作用，支付方式改革营造良好的舆论氛围，推动医保支付方式改革向纵深发展，让改革成果更多转化为人民群众的获得感和幸福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四、工作要求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地要高度重视DRG付费改革工作，统一思想、提高认识、加强领导，排出时间表、路线图，保障DRG支付方式改革相关的人财物的落实。要成立DRG付费改革工作组，加强组织协调，研究解决相关问题。在2020年12月底前制定</w:t>
      </w:r>
      <w:bookmarkStart w:id="0" w:name="_GoBack"/>
      <w:bookmarkEnd w:id="0"/>
      <w:r>
        <w:rPr>
          <w:rFonts w:hint="default" w:ascii="仿宋_GB2312" w:hAnsi="仿宋_GB2312" w:eastAsia="仿宋_GB2312" w:cs="仿宋_GB2312"/>
          <w:i w:val="0"/>
          <w:caps w:val="0"/>
          <w:color w:val="333333"/>
          <w:spacing w:val="0"/>
          <w:sz w:val="32"/>
          <w:szCs w:val="32"/>
          <w:shd w:val="clear" w:fill="FFFFFF"/>
          <w:lang w:val="en-US" w:eastAsia="zh-CN"/>
        </w:rPr>
        <w:t>出台DRG付费改革实施细则并组织制定相关配套政策，加强医保、质控、信息化等专业技术人员队伍能力建设；规范医疗机构填写病案首页，准确上传明细数据；加强对参保人员的就诊费用的核查，依规引导参保人员在基层就诊。</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1"/>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云南省医疗保障局发布     </w:t>
    </w:r>
  </w:p>
  <w:p>
    <w:pPr>
      <w:pStyle w:val="11"/>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11"/>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云南省医疗保障局行政规范性文件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9005D"/>
    <w:multiLevelType w:val="multilevel"/>
    <w:tmpl w:val="2819005D"/>
    <w:lvl w:ilvl="0" w:tentative="0">
      <w:start w:val="1"/>
      <w:numFmt w:val="decimal"/>
      <w:pStyle w:val="2"/>
      <w:suff w:val="space"/>
      <w:lvlText w:val="%1"/>
      <w:lvlJc w:val="left"/>
      <w:pPr>
        <w:tabs>
          <w:tab w:val="left" w:pos="420"/>
        </w:tabs>
        <w:ind w:left="0" w:firstLine="0"/>
      </w:pPr>
      <w:rPr>
        <w:rFonts w:hint="eastAsia" w:ascii="宋体" w:hAnsi="宋体" w:eastAsia="宋体"/>
        <w:b/>
        <w:bCs/>
        <w:i w:val="0"/>
        <w:iCs w:val="0"/>
        <w:caps w:val="0"/>
        <w:strike w:val="0"/>
        <w:dstrike w:val="0"/>
        <w:vanish w:val="0"/>
        <w:color w:val="auto"/>
        <w:w w:val="100"/>
        <w:sz w:val="28"/>
        <w:szCs w:val="28"/>
        <w:u w:val="none"/>
        <w:vertAlign w:val="baseline"/>
      </w:rPr>
    </w:lvl>
    <w:lvl w:ilvl="1" w:tentative="0">
      <w:start w:val="1"/>
      <w:numFmt w:val="decimal"/>
      <w:pStyle w:val="3"/>
      <w:suff w:val="space"/>
      <w:lvlText w:val="%1.%2"/>
      <w:lvlJc w:val="left"/>
      <w:pPr>
        <w:tabs>
          <w:tab w:val="left" w:pos="420"/>
        </w:tabs>
        <w:ind w:left="-105" w:firstLine="0"/>
      </w:pPr>
      <w:rPr>
        <w:rFonts w:hint="eastAsia" w:ascii="宋体" w:hAnsi="宋体" w:eastAsia="宋体"/>
        <w:b/>
        <w:bCs/>
        <w:i w:val="0"/>
        <w:iCs w:val="0"/>
        <w:vanish w:val="0"/>
        <w:color w:val="auto"/>
        <w:w w:val="100"/>
        <w:sz w:val="24"/>
        <w:szCs w:val="24"/>
        <w:u w:val="none"/>
      </w:rPr>
    </w:lvl>
    <w:lvl w:ilvl="2" w:tentative="0">
      <w:start w:val="1"/>
      <w:numFmt w:val="decimal"/>
      <w:pStyle w:val="4"/>
      <w:suff w:val="space"/>
      <w:lvlText w:val="%1.%2.%3"/>
      <w:lvlJc w:val="left"/>
      <w:pPr>
        <w:tabs>
          <w:tab w:val="left" w:pos="420"/>
        </w:tabs>
        <w:ind w:left="0" w:firstLine="0"/>
      </w:pPr>
      <w:rPr>
        <w:rFonts w:hint="eastAsia" w:ascii="宋体" w:hAnsi="宋体" w:eastAsia="宋体"/>
        <w:b/>
        <w:bCs/>
        <w:i w:val="0"/>
        <w:iCs w:val="0"/>
        <w:vanish w:val="0"/>
        <w:color w:val="auto"/>
        <w:w w:val="100"/>
        <w:sz w:val="24"/>
        <w:szCs w:val="24"/>
        <w:u w:val="none"/>
      </w:rPr>
    </w:lvl>
    <w:lvl w:ilvl="3" w:tentative="0">
      <w:start w:val="1"/>
      <w:numFmt w:val="decimal"/>
      <w:pStyle w:val="5"/>
      <w:suff w:val="space"/>
      <w:lvlText w:val="%1.%2.%3.%4"/>
      <w:lvlJc w:val="left"/>
      <w:pPr>
        <w:tabs>
          <w:tab w:val="left" w:pos="420"/>
        </w:tabs>
        <w:ind w:left="0" w:firstLine="0"/>
      </w:pPr>
      <w:rPr>
        <w:rFonts w:hint="eastAsia" w:ascii="宋体" w:hAnsi="宋体" w:eastAsia="宋体"/>
        <w:b/>
        <w:bCs/>
        <w:i w:val="0"/>
        <w:iCs w:val="0"/>
        <w:vanish w:val="0"/>
        <w:color w:val="auto"/>
        <w:w w:val="100"/>
        <w:sz w:val="21"/>
        <w:szCs w:val="21"/>
        <w:u w:val="none"/>
      </w:rPr>
    </w:lvl>
    <w:lvl w:ilvl="4" w:tentative="0">
      <w:start w:val="1"/>
      <w:numFmt w:val="decimal"/>
      <w:pStyle w:val="6"/>
      <w:suff w:val="space"/>
      <w:lvlText w:val="%1.%2.%3.%4.%5"/>
      <w:lvlJc w:val="left"/>
      <w:pPr>
        <w:tabs>
          <w:tab w:val="left" w:pos="420"/>
        </w:tabs>
        <w:ind w:left="0" w:firstLine="0"/>
      </w:pPr>
      <w:rPr>
        <w:rFonts w:hint="eastAsia" w:ascii="宋体" w:hAnsi="宋体" w:eastAsia="宋体"/>
        <w:b/>
        <w:bCs/>
        <w:i w:val="0"/>
        <w:iCs w:val="0"/>
        <w:vanish w:val="0"/>
        <w:color w:val="auto"/>
        <w:w w:val="100"/>
        <w:sz w:val="21"/>
        <w:szCs w:val="21"/>
        <w:u w:val="none"/>
      </w:rPr>
    </w:lvl>
    <w:lvl w:ilvl="5" w:tentative="0">
      <w:start w:val="1"/>
      <w:numFmt w:val="decimal"/>
      <w:suff w:val="space"/>
      <w:lvlText w:val="%1.%2.%3.%4.%5.%6"/>
      <w:lvlJc w:val="left"/>
      <w:pPr>
        <w:tabs>
          <w:tab w:val="left" w:pos="420"/>
        </w:tabs>
        <w:ind w:left="0" w:firstLine="0"/>
      </w:pPr>
      <w:rPr>
        <w:rFonts w:hint="eastAsia" w:ascii="宋体" w:hAnsi="宋体" w:eastAsia="宋体"/>
        <w:b/>
        <w:bCs/>
        <w:i w:val="0"/>
        <w:iCs w:val="0"/>
        <w:vanish w:val="0"/>
        <w:color w:val="auto"/>
        <w:w w:val="100"/>
        <w:sz w:val="21"/>
        <w:szCs w:val="21"/>
        <w:u w:val="none"/>
      </w:rPr>
    </w:lvl>
    <w:lvl w:ilvl="6" w:tentative="0">
      <w:start w:val="1"/>
      <w:numFmt w:val="decimal"/>
      <w:suff w:val="space"/>
      <w:lvlText w:val="%1.%2.%3.%4.%5.%6.%7"/>
      <w:lvlJc w:val="left"/>
      <w:pPr>
        <w:tabs>
          <w:tab w:val="left" w:pos="420"/>
        </w:tabs>
        <w:ind w:left="0" w:firstLine="0"/>
      </w:pPr>
      <w:rPr>
        <w:rFonts w:hint="eastAsia" w:ascii="宋体" w:hAnsi="宋体" w:eastAsia="宋体"/>
        <w:b/>
        <w:bCs/>
        <w:i w:val="0"/>
        <w:iCs w:val="0"/>
        <w:vanish w:val="0"/>
        <w:color w:val="auto"/>
        <w:w w:val="100"/>
        <w:sz w:val="21"/>
        <w:szCs w:val="21"/>
        <w:u w:val="none"/>
      </w:rPr>
    </w:lvl>
    <w:lvl w:ilvl="7" w:tentative="0">
      <w:start w:val="1"/>
      <w:numFmt w:val="decimal"/>
      <w:suff w:val="space"/>
      <w:lvlText w:val="%1.%2.%3.%4.%5.%6.%7.%8"/>
      <w:lvlJc w:val="left"/>
      <w:pPr>
        <w:tabs>
          <w:tab w:val="left" w:pos="420"/>
        </w:tabs>
        <w:ind w:left="0" w:firstLine="0"/>
      </w:pPr>
      <w:rPr>
        <w:rFonts w:hint="eastAsia" w:ascii="宋体" w:hAnsi="宋体" w:eastAsia="宋体"/>
        <w:b/>
        <w:bCs/>
        <w:i w:val="0"/>
        <w:iCs w:val="0"/>
        <w:vanish w:val="0"/>
        <w:color w:val="auto"/>
        <w:w w:val="100"/>
        <w:sz w:val="21"/>
        <w:szCs w:val="21"/>
        <w:u w:val="none"/>
      </w:rPr>
    </w:lvl>
    <w:lvl w:ilvl="8" w:tentative="0">
      <w:start w:val="1"/>
      <w:numFmt w:val="decimal"/>
      <w:suff w:val="space"/>
      <w:lvlText w:val="%1.%2.%3.%4.%5.%6.%7.%8.%9"/>
      <w:lvlJc w:val="left"/>
      <w:pPr>
        <w:tabs>
          <w:tab w:val="left" w:pos="420"/>
        </w:tabs>
        <w:ind w:left="0" w:firstLine="0"/>
      </w:pPr>
      <w:rPr>
        <w:rFonts w:hint="eastAsia" w:ascii="宋体" w:hAnsi="宋体" w:eastAsia="宋体"/>
        <w:b/>
        <w:bCs/>
        <w:i w:val="0"/>
        <w:iCs w:val="0"/>
        <w:vanish w:val="0"/>
        <w:color w:val="auto"/>
        <w:w w:val="100"/>
        <w:sz w:val="21"/>
        <w:szCs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72241"/>
    <w:rsid w:val="00AA27D4"/>
    <w:rsid w:val="00C54EEA"/>
    <w:rsid w:val="00C835ED"/>
    <w:rsid w:val="010F3DDD"/>
    <w:rsid w:val="011F5BCA"/>
    <w:rsid w:val="015841B4"/>
    <w:rsid w:val="019E71BD"/>
    <w:rsid w:val="01E00C12"/>
    <w:rsid w:val="02160E34"/>
    <w:rsid w:val="021B6257"/>
    <w:rsid w:val="02407E37"/>
    <w:rsid w:val="03C5417D"/>
    <w:rsid w:val="04360B78"/>
    <w:rsid w:val="04B679C3"/>
    <w:rsid w:val="050801B0"/>
    <w:rsid w:val="0661613A"/>
    <w:rsid w:val="06D36447"/>
    <w:rsid w:val="073950D5"/>
    <w:rsid w:val="080F63D8"/>
    <w:rsid w:val="08E505F2"/>
    <w:rsid w:val="09341458"/>
    <w:rsid w:val="099514A1"/>
    <w:rsid w:val="09FF7F32"/>
    <w:rsid w:val="0AAE6AAB"/>
    <w:rsid w:val="0B0912D7"/>
    <w:rsid w:val="0CE74E21"/>
    <w:rsid w:val="0F040B48"/>
    <w:rsid w:val="11C934C6"/>
    <w:rsid w:val="11EC625E"/>
    <w:rsid w:val="13462986"/>
    <w:rsid w:val="1447025F"/>
    <w:rsid w:val="14497071"/>
    <w:rsid w:val="14587791"/>
    <w:rsid w:val="15103CF8"/>
    <w:rsid w:val="152206F7"/>
    <w:rsid w:val="152D2DCA"/>
    <w:rsid w:val="1573530D"/>
    <w:rsid w:val="15886EF0"/>
    <w:rsid w:val="15F20827"/>
    <w:rsid w:val="17F16F56"/>
    <w:rsid w:val="181C76BE"/>
    <w:rsid w:val="192E664C"/>
    <w:rsid w:val="195436E9"/>
    <w:rsid w:val="19DD1972"/>
    <w:rsid w:val="1A022DD1"/>
    <w:rsid w:val="1A5250C1"/>
    <w:rsid w:val="1B5662F7"/>
    <w:rsid w:val="1B903DB2"/>
    <w:rsid w:val="1BCA18AE"/>
    <w:rsid w:val="1C141F86"/>
    <w:rsid w:val="1C4B037C"/>
    <w:rsid w:val="1DEC284C"/>
    <w:rsid w:val="1E6523AC"/>
    <w:rsid w:val="1F4432CB"/>
    <w:rsid w:val="208C3A47"/>
    <w:rsid w:val="2211015F"/>
    <w:rsid w:val="221C31F5"/>
    <w:rsid w:val="22440422"/>
    <w:rsid w:val="22852558"/>
    <w:rsid w:val="2431259B"/>
    <w:rsid w:val="24542A4B"/>
    <w:rsid w:val="252B18FB"/>
    <w:rsid w:val="25BC0296"/>
    <w:rsid w:val="25F72AEE"/>
    <w:rsid w:val="273A74F0"/>
    <w:rsid w:val="27DE367B"/>
    <w:rsid w:val="282C4413"/>
    <w:rsid w:val="2928532F"/>
    <w:rsid w:val="2A182153"/>
    <w:rsid w:val="2A1C1FC5"/>
    <w:rsid w:val="2A2E7855"/>
    <w:rsid w:val="2B2E72AB"/>
    <w:rsid w:val="2B420351"/>
    <w:rsid w:val="2C2379BF"/>
    <w:rsid w:val="2D5C67E7"/>
    <w:rsid w:val="2F6F1730"/>
    <w:rsid w:val="2FC920C5"/>
    <w:rsid w:val="31690CD8"/>
    <w:rsid w:val="31A15F24"/>
    <w:rsid w:val="31C30C1A"/>
    <w:rsid w:val="32FE6D0F"/>
    <w:rsid w:val="3307777B"/>
    <w:rsid w:val="34CA4696"/>
    <w:rsid w:val="36843254"/>
    <w:rsid w:val="36DB46CF"/>
    <w:rsid w:val="395347B5"/>
    <w:rsid w:val="397F3FCC"/>
    <w:rsid w:val="39A232A0"/>
    <w:rsid w:val="39E745AA"/>
    <w:rsid w:val="3AD574BB"/>
    <w:rsid w:val="3B5A6BBB"/>
    <w:rsid w:val="3CC65204"/>
    <w:rsid w:val="3CF84984"/>
    <w:rsid w:val="3D1B7D49"/>
    <w:rsid w:val="3E677953"/>
    <w:rsid w:val="3E840C6A"/>
    <w:rsid w:val="3EDA13A6"/>
    <w:rsid w:val="3F7C3FDA"/>
    <w:rsid w:val="3F9F14DB"/>
    <w:rsid w:val="42522227"/>
    <w:rsid w:val="42F058B7"/>
    <w:rsid w:val="433648BA"/>
    <w:rsid w:val="436109F6"/>
    <w:rsid w:val="4373436C"/>
    <w:rsid w:val="43CE2BEC"/>
    <w:rsid w:val="441A38D4"/>
    <w:rsid w:val="46634788"/>
    <w:rsid w:val="47D3046F"/>
    <w:rsid w:val="48041351"/>
    <w:rsid w:val="481D74FB"/>
    <w:rsid w:val="488E42C9"/>
    <w:rsid w:val="4A672C72"/>
    <w:rsid w:val="4ABB034A"/>
    <w:rsid w:val="4AF562BD"/>
    <w:rsid w:val="4B9B3A30"/>
    <w:rsid w:val="4BC77339"/>
    <w:rsid w:val="4C164D19"/>
    <w:rsid w:val="4C9236C5"/>
    <w:rsid w:val="4CC53CC9"/>
    <w:rsid w:val="4DB5279C"/>
    <w:rsid w:val="4ED533A1"/>
    <w:rsid w:val="501C2E48"/>
    <w:rsid w:val="505C172E"/>
    <w:rsid w:val="517B1258"/>
    <w:rsid w:val="52500439"/>
    <w:rsid w:val="52710CF1"/>
    <w:rsid w:val="52990A6C"/>
    <w:rsid w:val="52C12107"/>
    <w:rsid w:val="52F46F0B"/>
    <w:rsid w:val="53877224"/>
    <w:rsid w:val="53C56327"/>
    <w:rsid w:val="53D8014D"/>
    <w:rsid w:val="53E105FA"/>
    <w:rsid w:val="54101A0E"/>
    <w:rsid w:val="55E064E0"/>
    <w:rsid w:val="572C6D10"/>
    <w:rsid w:val="57940BED"/>
    <w:rsid w:val="581A015D"/>
    <w:rsid w:val="585B0F82"/>
    <w:rsid w:val="59343DA7"/>
    <w:rsid w:val="59445BC2"/>
    <w:rsid w:val="5B7C50FD"/>
    <w:rsid w:val="5C184F01"/>
    <w:rsid w:val="5D512D7C"/>
    <w:rsid w:val="5D835179"/>
    <w:rsid w:val="5DC34279"/>
    <w:rsid w:val="5E773BED"/>
    <w:rsid w:val="5FC42B50"/>
    <w:rsid w:val="6004528C"/>
    <w:rsid w:val="608816D1"/>
    <w:rsid w:val="60EF4E7F"/>
    <w:rsid w:val="61455008"/>
    <w:rsid w:val="62362426"/>
    <w:rsid w:val="6370472C"/>
    <w:rsid w:val="63733267"/>
    <w:rsid w:val="63FD1752"/>
    <w:rsid w:val="665233C1"/>
    <w:rsid w:val="670E76AF"/>
    <w:rsid w:val="67451BAE"/>
    <w:rsid w:val="67B24991"/>
    <w:rsid w:val="6AD9688B"/>
    <w:rsid w:val="6CAC71E4"/>
    <w:rsid w:val="6D0E3F22"/>
    <w:rsid w:val="6D303D08"/>
    <w:rsid w:val="6DBC77E8"/>
    <w:rsid w:val="6E845B51"/>
    <w:rsid w:val="6ED60212"/>
    <w:rsid w:val="6F360F3E"/>
    <w:rsid w:val="6FCF00AA"/>
    <w:rsid w:val="701D6125"/>
    <w:rsid w:val="717C3997"/>
    <w:rsid w:val="72E17E80"/>
    <w:rsid w:val="73C14A57"/>
    <w:rsid w:val="749609C5"/>
    <w:rsid w:val="75423411"/>
    <w:rsid w:val="754B74E1"/>
    <w:rsid w:val="75D30027"/>
    <w:rsid w:val="768C48B4"/>
    <w:rsid w:val="77327CAF"/>
    <w:rsid w:val="78947BD8"/>
    <w:rsid w:val="7A901095"/>
    <w:rsid w:val="7BA8267B"/>
    <w:rsid w:val="7C5611AA"/>
    <w:rsid w:val="7C9011D9"/>
    <w:rsid w:val="7CB37580"/>
    <w:rsid w:val="7CF20B96"/>
    <w:rsid w:val="7DC651C5"/>
    <w:rsid w:val="7E207132"/>
    <w:rsid w:val="7F087623"/>
    <w:rsid w:val="7F617B36"/>
    <w:rsid w:val="7FCC2834"/>
    <w:rsid w:val="7FEC47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widowControl w:val="0"/>
      <w:numPr>
        <w:ilvl w:val="0"/>
        <w:numId w:val="1"/>
      </w:numPr>
      <w:spacing w:before="340" w:beforeLines="50" w:after="330" w:afterLines="50" w:line="360" w:lineRule="auto"/>
      <w:ind w:firstLine="40" w:firstLineChars="0"/>
      <w:jc w:val="left"/>
      <w:outlineLvl w:val="0"/>
    </w:pPr>
    <w:rPr>
      <w:rFonts w:ascii="宋体" w:hAnsi="宋体" w:eastAsia="宋体" w:cs="宋体"/>
      <w:b/>
      <w:bCs/>
      <w:kern w:val="44"/>
      <w:sz w:val="28"/>
      <w:szCs w:val="28"/>
      <w:lang w:val="en-US" w:eastAsia="zh-CN" w:bidi="ar-SA"/>
    </w:rPr>
  </w:style>
  <w:style w:type="paragraph" w:styleId="3">
    <w:name w:val="heading 2"/>
    <w:next w:val="1"/>
    <w:unhideWhenUsed/>
    <w:qFormat/>
    <w:uiPriority w:val="9"/>
    <w:pPr>
      <w:keepNext/>
      <w:keepLines/>
      <w:widowControl w:val="0"/>
      <w:numPr>
        <w:ilvl w:val="1"/>
        <w:numId w:val="1"/>
      </w:numPr>
      <w:spacing w:before="260" w:beforeLines="50" w:after="260" w:afterLines="50" w:line="360" w:lineRule="auto"/>
      <w:ind w:firstLine="40" w:firstLineChars="0"/>
      <w:jc w:val="left"/>
      <w:outlineLvl w:val="1"/>
    </w:pPr>
    <w:rPr>
      <w:rFonts w:ascii="宋体" w:hAnsi="宋体" w:eastAsia="宋体" w:cs="宋体"/>
      <w:b/>
      <w:bCs/>
      <w:kern w:val="0"/>
      <w:sz w:val="24"/>
      <w:szCs w:val="24"/>
      <w:lang w:val="en-US" w:eastAsia="zh-CN" w:bidi="ar-SA"/>
    </w:rPr>
  </w:style>
  <w:style w:type="paragraph" w:styleId="4">
    <w:name w:val="heading 3"/>
    <w:next w:val="1"/>
    <w:unhideWhenUsed/>
    <w:qFormat/>
    <w:uiPriority w:val="9"/>
    <w:pPr>
      <w:keepNext/>
      <w:keepLines/>
      <w:widowControl w:val="0"/>
      <w:numPr>
        <w:ilvl w:val="2"/>
        <w:numId w:val="1"/>
      </w:numPr>
      <w:spacing w:before="260" w:beforeLines="50" w:after="260" w:afterLines="50" w:line="360" w:lineRule="auto"/>
      <w:ind w:firstLine="40" w:firstLineChars="0"/>
      <w:jc w:val="left"/>
      <w:outlineLvl w:val="2"/>
    </w:pPr>
    <w:rPr>
      <w:rFonts w:ascii="宋体" w:hAnsi="宋体" w:eastAsia="宋体" w:cs="宋体"/>
      <w:b/>
      <w:bCs/>
      <w:kern w:val="0"/>
      <w:sz w:val="24"/>
      <w:szCs w:val="24"/>
      <w:lang w:val="en-US" w:eastAsia="zh-CN" w:bidi="ar-SA"/>
    </w:rPr>
  </w:style>
  <w:style w:type="paragraph" w:styleId="5">
    <w:name w:val="heading 4"/>
    <w:next w:val="1"/>
    <w:unhideWhenUsed/>
    <w:qFormat/>
    <w:uiPriority w:val="9"/>
    <w:pPr>
      <w:keepNext/>
      <w:keepLines/>
      <w:widowControl w:val="0"/>
      <w:numPr>
        <w:ilvl w:val="3"/>
        <w:numId w:val="1"/>
      </w:numPr>
      <w:spacing w:before="280" w:beforeLines="50" w:after="290" w:afterLines="50" w:line="360" w:lineRule="auto"/>
      <w:ind w:firstLine="40" w:firstLineChars="0"/>
      <w:jc w:val="left"/>
      <w:outlineLvl w:val="3"/>
    </w:pPr>
    <w:rPr>
      <w:rFonts w:ascii="宋体" w:hAnsi="宋体" w:eastAsia="宋体" w:cs="宋体"/>
      <w:b/>
      <w:bCs/>
      <w:kern w:val="0"/>
      <w:sz w:val="21"/>
      <w:szCs w:val="21"/>
      <w:lang w:val="en-US" w:eastAsia="zh-CN" w:bidi="ar-SA"/>
    </w:rPr>
  </w:style>
  <w:style w:type="paragraph" w:styleId="6">
    <w:name w:val="heading 5"/>
    <w:next w:val="1"/>
    <w:unhideWhenUsed/>
    <w:qFormat/>
    <w:uiPriority w:val="9"/>
    <w:pPr>
      <w:keepNext/>
      <w:keepLines/>
      <w:widowControl w:val="0"/>
      <w:numPr>
        <w:ilvl w:val="4"/>
        <w:numId w:val="1"/>
      </w:numPr>
      <w:spacing w:before="280" w:beforeLines="50" w:after="290" w:afterLines="50" w:line="360" w:lineRule="auto"/>
      <w:ind w:firstLine="40" w:firstLineChars="0"/>
      <w:jc w:val="left"/>
      <w:outlineLvl w:val="4"/>
    </w:pPr>
    <w:rPr>
      <w:rFonts w:ascii="宋体" w:hAnsi="宋体" w:eastAsia="宋体" w:cs="宋体"/>
      <w:b/>
      <w:bCs/>
      <w:kern w:val="2"/>
      <w:sz w:val="21"/>
      <w:szCs w:val="21"/>
      <w:lang w:val="en-US" w:eastAsia="zh-CN" w:bidi="ar-SA"/>
    </w:rPr>
  </w:style>
  <w:style w:type="character" w:default="1" w:styleId="15">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7">
    <w:name w:val="annotation text"/>
    <w:basedOn w:val="1"/>
    <w:qFormat/>
    <w:uiPriority w:val="0"/>
    <w:pPr>
      <w:jc w:val="left"/>
    </w:pPr>
  </w:style>
  <w:style w:type="paragraph" w:styleId="8">
    <w:name w:val="Body Text"/>
    <w:unhideWhenUsed/>
    <w:qFormat/>
    <w:uiPriority w:val="99"/>
    <w:pPr>
      <w:widowControl w:val="0"/>
      <w:spacing w:before="43" w:line="360" w:lineRule="auto"/>
      <w:ind w:left="1040" w:firstLine="40" w:firstLineChars="200"/>
      <w:jc w:val="both"/>
    </w:pPr>
    <w:rPr>
      <w:rFonts w:ascii="宋体" w:hAnsi="宋体" w:eastAsia="宋体" w:cs="宋体"/>
      <w:kern w:val="2"/>
      <w:sz w:val="21"/>
      <w:szCs w:val="21"/>
      <w:lang w:val="en-US" w:eastAsia="en-US" w:bidi="en-US"/>
    </w:rPr>
  </w:style>
  <w:style w:type="paragraph" w:styleId="9">
    <w:name w:val="toc 3"/>
    <w:next w:val="1"/>
    <w:unhideWhenUsed/>
    <w:qFormat/>
    <w:uiPriority w:val="39"/>
    <w:pPr>
      <w:widowControl w:val="0"/>
      <w:spacing w:line="360" w:lineRule="auto"/>
      <w:ind w:left="840" w:leftChars="400" w:firstLine="40" w:firstLineChars="200"/>
      <w:jc w:val="both"/>
    </w:pPr>
    <w:rPr>
      <w:rFonts w:ascii="宋体" w:hAnsi="宋体" w:eastAsia="宋体" w:cs="宋体"/>
      <w:kern w:val="2"/>
      <w:sz w:val="21"/>
      <w:szCs w:val="21"/>
      <w:lang w:val="en-US" w:eastAsia="zh-CN" w:bidi="ar-SA"/>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next w:val="1"/>
    <w:unhideWhenUsed/>
    <w:qFormat/>
    <w:uiPriority w:val="39"/>
    <w:pPr>
      <w:widowControl w:val="0"/>
      <w:spacing w:line="360" w:lineRule="auto"/>
      <w:ind w:firstLine="40" w:firstLineChars="200"/>
      <w:jc w:val="both"/>
    </w:pPr>
    <w:rPr>
      <w:rFonts w:ascii="宋体" w:hAnsi="宋体" w:eastAsia="宋体" w:cs="宋体"/>
      <w:kern w:val="2"/>
      <w:sz w:val="21"/>
      <w:szCs w:val="21"/>
      <w:lang w:val="en-US" w:eastAsia="zh-CN" w:bidi="ar-SA"/>
    </w:rPr>
  </w:style>
  <w:style w:type="paragraph" w:styleId="13">
    <w:name w:val="toc 4"/>
    <w:next w:val="1"/>
    <w:unhideWhenUsed/>
    <w:qFormat/>
    <w:uiPriority w:val="39"/>
    <w:pPr>
      <w:widowControl w:val="0"/>
      <w:spacing w:line="360" w:lineRule="auto"/>
      <w:ind w:left="1260" w:leftChars="600" w:firstLine="40" w:firstLineChars="200"/>
      <w:jc w:val="both"/>
    </w:pPr>
    <w:rPr>
      <w:rFonts w:ascii="宋体" w:hAnsi="宋体" w:eastAsia="宋体" w:cs="宋体"/>
      <w:kern w:val="2"/>
      <w:sz w:val="21"/>
      <w:szCs w:val="21"/>
      <w:lang w:val="en-US" w:eastAsia="zh-CN" w:bidi="ar-SA"/>
    </w:rPr>
  </w:style>
  <w:style w:type="paragraph" w:styleId="14">
    <w:name w:val="toc 2"/>
    <w:next w:val="1"/>
    <w:unhideWhenUsed/>
    <w:qFormat/>
    <w:uiPriority w:val="39"/>
    <w:pPr>
      <w:widowControl w:val="0"/>
      <w:spacing w:line="360" w:lineRule="auto"/>
      <w:ind w:left="420" w:leftChars="200" w:firstLine="40" w:firstLineChars="200"/>
      <w:jc w:val="both"/>
    </w:pPr>
    <w:rPr>
      <w:rFonts w:ascii="宋体" w:hAnsi="宋体" w:eastAsia="宋体" w:cs="宋体"/>
      <w:kern w:val="2"/>
      <w:sz w:val="21"/>
      <w:szCs w:val="21"/>
      <w:lang w:val="en-US" w:eastAsia="zh-CN" w:bidi="ar-SA"/>
    </w:rPr>
  </w:style>
  <w:style w:type="paragraph" w:customStyle="1" w:styleId="1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8">
    <w:name w:val="TOC 标题1"/>
    <w:next w:val="1"/>
    <w:unhideWhenUsed/>
    <w:qFormat/>
    <w:uiPriority w:val="39"/>
    <w:pPr>
      <w:keepNext/>
      <w:keepLines/>
      <w:widowControl/>
      <w:numPr>
        <w:ilvl w:val="0"/>
        <w:numId w:val="0"/>
      </w:numPr>
      <w:spacing w:before="240" w:beforeLines="0" w:after="0" w:afterLines="0" w:line="259" w:lineRule="auto"/>
      <w:ind w:firstLine="40" w:firstLineChars="0"/>
      <w:jc w:val="left"/>
      <w:outlineLvl w:val="9"/>
    </w:pPr>
    <w:rPr>
      <w:rFonts w:ascii="Cambria" w:hAnsi="Cambria" w:eastAsia="宋体" w:cs="Times New Roman"/>
      <w:color w:val="366091"/>
      <w:kern w:val="0"/>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甫春莲</cp:lastModifiedBy>
  <cp:lastPrinted>2021-10-26T03:30:00Z</cp:lastPrinted>
  <dcterms:modified xsi:type="dcterms:W3CDTF">2021-12-22T01:19:11Z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48C61CB29D3F4D9384F5922CF0F7FFB4</vt:lpwstr>
  </property>
</Properties>
</file>