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333333"/>
          <w:spacing w:val="0"/>
          <w:sz w:val="44"/>
          <w:szCs w:val="44"/>
          <w:shd w:val="clear" w:fill="FFFFFF"/>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云南省医疗保障局</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云南省财政厅</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云南省卫生健康委员会</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云南省人力资源和社会保障厅</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关于开展县域内城乡居民医疗保障资金</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按人头打包付费试点工作</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指导意见的通知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云医保〔2019〕35号</w:t>
      </w:r>
    </w:p>
    <w:p>
      <w:pPr>
        <w:pStyle w:val="17"/>
        <w:rPr>
          <w:rFonts w:hint="default"/>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各州市人民政府，医疗保障局、财政局、卫生健康委、人力资源社会保障局：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根据《国务院办公厅关于进一步深化基本医疗保险支付方式改革的指导意见》（国办发〔2017〕55号）、《云南省人民政府关于印发云南省“十三五”深化医药卫生体制改革规划的通知》（云政发〔2017〕51号）、《云南省人民政府办公厅关于推进医疗联合体建设和发展的实施意见》（云政办发〔2017〕81号）要求，为加快推动医保、医疗、医药联动改革，有效控制医疗保障资金风险，保障参保人员按政策规定享受医疗待遇，在总结经验基础上，制定《关于开展县域内城乡居民医疗保障资金按人头打包付费试点工作的指导意见》，经省人民政府同意，现印发你们，请结合实际，积极开展好试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2019年试点县由各州（市）政府选取，相关部门要指导县（市、区）认真制定实施方案。同时鼓励其他县（市、区）积极探索开展按人头打包付费试点。2019年4月底前，将试点县名单和实施方案分报省级相关部门备案，已经明确纳入今年试点范围的县市必须于2019年7月1日正式启动试点工作。</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1280" w:firstLineChars="4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云南省医疗保障局  云南省财政厅</w:t>
      </w:r>
    </w:p>
    <w:p>
      <w:pPr>
        <w:keepNext w:val="0"/>
        <w:keepLines w:val="0"/>
        <w:pageBreakBefore w:val="0"/>
        <w:widowControl w:val="0"/>
        <w:kinsoku/>
        <w:wordWrap/>
        <w:overflowPunct/>
        <w:topLinePunct w:val="0"/>
        <w:autoSpaceDE/>
        <w:autoSpaceDN/>
        <w:bidi w:val="0"/>
        <w:adjustRightInd/>
        <w:snapToGrid/>
        <w:ind w:firstLine="1280" w:firstLineChars="4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云南省卫生健康委 云南省人力资源和社会保障厅</w:t>
      </w:r>
    </w:p>
    <w:p>
      <w:pPr>
        <w:keepNext w:val="0"/>
        <w:keepLines w:val="0"/>
        <w:pageBreakBefore w:val="0"/>
        <w:widowControl w:val="0"/>
        <w:kinsoku/>
        <w:wordWrap/>
        <w:overflowPunct/>
        <w:topLinePunct w:val="0"/>
        <w:autoSpaceDE/>
        <w:autoSpaceDN/>
        <w:bidi w:val="0"/>
        <w:adjustRightInd/>
        <w:snapToGrid/>
        <w:ind w:firstLine="5440" w:firstLineChars="17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2019年</w:t>
      </w:r>
      <w:r>
        <w:rPr>
          <w:rFonts w:hint="eastAsia" w:ascii="仿宋_GB2312" w:hAnsi="仿宋_GB2312" w:eastAsia="仿宋_GB2312" w:cs="仿宋_GB2312"/>
          <w:i w:val="0"/>
          <w:caps w:val="0"/>
          <w:color w:val="333333"/>
          <w:spacing w:val="0"/>
          <w:sz w:val="32"/>
          <w:szCs w:val="32"/>
          <w:shd w:val="clear" w:fill="FFFFFF"/>
          <w:lang w:val="en-US" w:eastAsia="zh-CN"/>
        </w:rPr>
        <w:t>4</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2</w:t>
      </w:r>
      <w:bookmarkStart w:id="0" w:name="_GoBack"/>
      <w:bookmarkEnd w:id="0"/>
      <w:r>
        <w:rPr>
          <w:rFonts w:hint="default" w:ascii="仿宋_GB2312" w:hAnsi="仿宋_GB2312" w:eastAsia="仿宋_GB2312" w:cs="仿宋_GB2312"/>
          <w:i w:val="0"/>
          <w:caps w:val="0"/>
          <w:color w:val="333333"/>
          <w:spacing w:val="0"/>
          <w:sz w:val="32"/>
          <w:szCs w:val="32"/>
          <w:shd w:val="clear" w:fill="FFFFFF"/>
          <w:lang w:val="en-US" w:eastAsia="zh-CN"/>
        </w:rPr>
        <w:t>日</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333333"/>
          <w:spacing w:val="0"/>
          <w:sz w:val="44"/>
          <w:szCs w:val="44"/>
          <w:shd w:val="clear" w:fill="FFFFFF"/>
          <w:lang w:val="en-US" w:eastAsia="zh-CN"/>
        </w:rPr>
      </w:pPr>
    </w:p>
    <w:p>
      <w:pPr>
        <w:pStyle w:val="17"/>
        <w:jc w:val="center"/>
        <w:rPr>
          <w:rFonts w:hint="eastAsia" w:ascii="宋体" w:hAnsi="宋体" w:eastAsia="宋体" w:cs="宋体"/>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关于开展县域内城乡居民医疗保障资金</w:t>
      </w:r>
    </w:p>
    <w:p>
      <w:pPr>
        <w:bidi w:val="0"/>
        <w:jc w:val="center"/>
        <w:rPr>
          <w:rFonts w:hint="default"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按人头打包付费试点工作的指导意见</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一、总体要求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指导思想。以习近平新时代中国特色社会主义思想为指导，全面贯彻党的十九大精神，进一步贯彻落实习近平总书记考察云南重要讲话精神，紧紧围绕深化医药卫生体制改革目标，坚持以人民为中心的发展思想，按照国家继续深化医保支付方式改革的总体要求，探索开展按人头打包付费试点，健全医保支付机制和利益调控机制，实现医保基金收支平衡，提高医保基金使用效率；促进医疗机构主动规范行为、控制成本、合理收治和转诊患者，引导医疗资源合理配置和患者有序就医；调动医务人员服务积极性，提升基层服务能力和服务质量；切实保障广大参保人员基本医疗权益，增强群众获得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（二）基本原则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健全机制。按照以收定支、收支平衡原则，建立总额预算管理下“人头包干、结余留用、超支自负”的激励与责任机制，提高医保基金使用效率，着力保障参保人员基本医疗需求。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统筹推进。以打包付费为切入点，统筹推进医疗、医保、医药改革，注重改革的系统性、整体性、协调性，破除以药养医，推动公立医院改革，落实分级诊疗。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试点先行。在总结经验基础上，推动一批县（市、区）开展按人头打包付费试点，以试点发现问题、破解难题，为推进医保支付方式改革积累经验。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平等开放。合理配置医疗资源，体现公益性，公平选择按人头打包付费的医共体牵头医疗机构。公立医院和社会办医机构一视同仁，平等对待，促进共同发展。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实施范围。医疗费用增长较快，当期城乡居民医保基金出现收不抵支，以及贫困面较大、人口较多的县（市、区），应积极开展按人头打包付费试点。州（市）统筹区可将试点县域内城乡居民基本医保、大病保险等资金统一打包到县，由县级人民政府明确一个或多个医共体，由牵头医院统筹管理，保障参保人员按政策规定享受医疗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打包标准。各统筹区应按照试点县医疗保险筹资能力、基本医疗保障水平等因素，精细测算，科学合理确定包干标准。并根据实际需要预留一定比例基金用作抵御不可抗力因素导致的基金风险，剩余部分整体打包给县域内医共体，多个医共体可根据各医共体覆盖乡镇人口数量预算分配打包额度。打包费用由医共体医疗机构共同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保障待遇。医共体要切实做好参保城乡居民的基本医疗服务，统筹使用打包资金，对所包干参保人群因病就医产生的门诊（包括普通门急诊、慢性病门诊、特殊病门诊）、住院、生育分娩等医疗费用，根据城乡居民基本医保、大病保险等有关政策规定，按照因病施治、合理诊疗的原则兑现各项保障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资金拨付。医疗保障管理部门按照“年初包干，按季预拨，年终结算”的办法，将年度打包资金额度80%左右的资金，按季度于首月预先拨付医共体牵头医疗机构，剩余资金根据年底考核情况进行结算。对参保人符合转院规定在医共体外定点医疗机构就医相关报销费用从打包资金中予以扣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（七）结余资金使用。医共体在确保按政策规定和医学原则提供合理医疗服务的前提下，结余资金由医共体成员单位按规定合理使用。具体使用办法由医共体制定，按管理权限报批后执行。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加强基层医疗机构资金保障。完善各级医疗卫生机构功能定位，保障基层基本医疗服务，合理分流患者，年度拨付基层医疗卫生机构医疗保障资金总额原则上不低于上年水平。到2020年，开展试点的县（市、区）拨付基层医疗卫生机构的医疗保障资金应达到医疗保障资金总额的25%左右。打包结余资金要向基层医疗机构倾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完善监管机制。县级医保管理部门要切实履行监管责任，完善协议内容，强化协议管理，重点开展医疗保障政策落实情况监管。加强部门联动，建立打击欺诈骗取医保基金长效机制。医共体要配合医保管理部门做好医疗服务行为合理性的监管。建立医共体内外部医疗机构相互监督机制。发挥社会监督作用，打包资金标准和拨付情况向社会公示，发挥好承办大病保险商业保险机构作用，探索通过参保人员满意度调查、引入第三方评价、聘请专家、社会监督员等方式，动员社会各界参与监督，有效防控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强化考核结果应用。按照“综合考核、激励约束、风险共担”的原则，借助单病种管理、按疾病诊断相关组付费（DRGs）等工具，建立与改革相适应的绩效考核机制，将县级医院出院病例总权重数与病例组合指数（CMI）、县域内就诊率、转外就医率、基层诊疗量和费用占比、机构诊疗服务范围、双向转诊比例、医疗资金流向、居民健康状况、个人负担水平、患者满意度等作为重点考核指标，考核结果作为当年打包资金最终结算的主要依据，并与下年打包资金额度挂钩。有效防止医疗机构推诿拒收患者、分解和转嫁医疗费用增加个人负担、降低服务标准和质量、牵头医院虹吸基层医疗资源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一）落实政府主体责任。各州市要加强对试点县指导。试点县委、政府要高度重视按人头打包付费工作，建立强有力组织领导机制。及时明确医共体牵头医院，积极破解医共体建设、打包资金拨付、人事薪酬管理、绩效考核评估等方面出现的困难问题，强力推动按人头打包付费及配套措施的制定和实施，确保工作有序推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（十二）明确部门职责。各级医疗保障、卫生健康、人力资源社会保障、财政等部门要统一认识，紧密联动，及时出台配套文件，形成合力，确保打包付费试点改革取得实效。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医疗保障部门要做好资金测算，牵头制定人头打包付费实施方案及相配套的协议管理措施，完善考核办法，会同卫生健康、财政等部门开展考核工作，根据考核结果及时核拨结算打包资金。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卫生健康部门要加快医共体建设，指导医共体强化内部管理、合理分配打包资金，提升基层医疗服务能力，切实加强医疗服务行为监管，牵头完善转诊转院规范、诊疗规范和临床路径。</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人力资源社会保障部门按照习近平总书记“允许医疗卫生机构突破现行事业单位工资调控水平，允许医疗服务收入扣除成本并按规定提取各项基金后主要用于人员奖励”重要指示精神和国家统一部署，推进完善医疗机构薪酬制度改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财政部门要加强基金管理，按照社保基金财务制度等相关规定，严格办理基金的审核拨付。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三）同步推进医共体建设。试点县要同步建立以县级医院为龙头，包含社会办医疗机构在内的医共体，优化资源布局，提升医疗服务能力。医共体内部要建立不同医疗机构间平等对话协商机制，建立目标明确、权责清晰、公平有效的分工协作机制，使医共体成为服务、责任、利益、管理、发展共同体。鼓励有条件的县建立1个以上的医共体，形成有序竞争。鼓励和支持社会办医疗机构参与医共体建设，社会办医疗机构也可作为医共体牵头医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四）提升基层服务能力。医共体牵头医院要通过绩效管理和技术指导，合理分配打包资金，提升乡镇卫生院和村卫生室服务能力，织密补牢医疗服务网底。同时，结合家庭医生签约和基本公共卫生服务，强化慢病管理和健康服务，做实家庭医生签约工作。并以家庭医生签约服务为依托，实现参保人选择家庭医生签约服务团队、选择医疗机构、选择医共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五）充分保障参保人权益。要切实保障参保人基本医疗需求，不折不扣落实各项医疗保障政策，兑现保障待遇，确保参保人待遇水平不降低。对参保人因外地工作、异地安置及转诊转院、异地突发疾病等情况在医共体外定点医疗机构就医产生的医疗费用，按政策规定实行即时结算或事后手工报销，及时兑现相关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（十六）强化宣传引导。各级各部门要强化正面宣传和解读，加强舆情监测分析，做好正向引导，争取广大群众和社会各界的理解和支持，为实施按人头打包付费营造良好的社会氛围。</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1"/>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11"/>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005D"/>
    <w:multiLevelType w:val="multilevel"/>
    <w:tmpl w:val="2819005D"/>
    <w:lvl w:ilvl="0" w:tentative="0">
      <w:start w:val="1"/>
      <w:numFmt w:val="decimal"/>
      <w:pStyle w:val="2"/>
      <w:suff w:val="space"/>
      <w:lvlText w:val="%1"/>
      <w:lvlJc w:val="left"/>
      <w:pPr>
        <w:tabs>
          <w:tab w:val="left" w:pos="420"/>
        </w:tabs>
        <w:ind w:left="0" w:firstLine="0"/>
      </w:pPr>
      <w:rPr>
        <w:rFonts w:hint="eastAsia" w:ascii="宋体" w:hAnsi="宋体" w:eastAsia="宋体"/>
        <w:b/>
        <w:bCs/>
        <w:i w:val="0"/>
        <w:iCs w:val="0"/>
        <w:caps w:val="0"/>
        <w:strike w:val="0"/>
        <w:dstrike w:val="0"/>
        <w:vanish w:val="0"/>
        <w:color w:val="auto"/>
        <w:w w:val="100"/>
        <w:sz w:val="28"/>
        <w:szCs w:val="28"/>
        <w:u w:val="none"/>
        <w:vertAlign w:val="baseline"/>
      </w:rPr>
    </w:lvl>
    <w:lvl w:ilvl="1" w:tentative="0">
      <w:start w:val="1"/>
      <w:numFmt w:val="decimal"/>
      <w:pStyle w:val="3"/>
      <w:suff w:val="space"/>
      <w:lvlText w:val="%1.%2"/>
      <w:lvlJc w:val="left"/>
      <w:pPr>
        <w:tabs>
          <w:tab w:val="left" w:pos="420"/>
        </w:tabs>
        <w:ind w:left="-105" w:firstLine="0"/>
      </w:pPr>
      <w:rPr>
        <w:rFonts w:hint="eastAsia" w:ascii="宋体" w:hAnsi="宋体" w:eastAsia="宋体"/>
        <w:b/>
        <w:bCs/>
        <w:i w:val="0"/>
        <w:iCs w:val="0"/>
        <w:vanish w:val="0"/>
        <w:color w:val="auto"/>
        <w:w w:val="100"/>
        <w:sz w:val="24"/>
        <w:szCs w:val="24"/>
        <w:u w:val="none"/>
      </w:rPr>
    </w:lvl>
    <w:lvl w:ilvl="2" w:tentative="0">
      <w:start w:val="1"/>
      <w:numFmt w:val="decimal"/>
      <w:pStyle w:val="4"/>
      <w:suff w:val="space"/>
      <w:lvlText w:val="%1.%2.%3"/>
      <w:lvlJc w:val="left"/>
      <w:pPr>
        <w:tabs>
          <w:tab w:val="left" w:pos="420"/>
        </w:tabs>
        <w:ind w:left="0" w:firstLine="0"/>
      </w:pPr>
      <w:rPr>
        <w:rFonts w:hint="eastAsia" w:ascii="宋体" w:hAnsi="宋体" w:eastAsia="宋体"/>
        <w:b/>
        <w:bCs/>
        <w:i w:val="0"/>
        <w:iCs w:val="0"/>
        <w:vanish w:val="0"/>
        <w:color w:val="auto"/>
        <w:w w:val="100"/>
        <w:sz w:val="24"/>
        <w:szCs w:val="24"/>
        <w:u w:val="none"/>
      </w:rPr>
    </w:lvl>
    <w:lvl w:ilvl="3" w:tentative="0">
      <w:start w:val="1"/>
      <w:numFmt w:val="decimal"/>
      <w:pStyle w:val="5"/>
      <w:suff w:val="space"/>
      <w:lvlText w:val="%1.%2.%3.%4"/>
      <w:lvlJc w:val="left"/>
      <w:pPr>
        <w:tabs>
          <w:tab w:val="left" w:pos="420"/>
        </w:tabs>
        <w:ind w:left="0" w:firstLine="0"/>
      </w:pPr>
      <w:rPr>
        <w:rFonts w:hint="eastAsia" w:ascii="宋体" w:hAnsi="宋体" w:eastAsia="宋体"/>
        <w:b/>
        <w:bCs/>
        <w:i w:val="0"/>
        <w:iCs w:val="0"/>
        <w:vanish w:val="0"/>
        <w:color w:val="auto"/>
        <w:w w:val="100"/>
        <w:sz w:val="21"/>
        <w:szCs w:val="21"/>
        <w:u w:val="none"/>
      </w:rPr>
    </w:lvl>
    <w:lvl w:ilvl="4" w:tentative="0">
      <w:start w:val="1"/>
      <w:numFmt w:val="decimal"/>
      <w:pStyle w:val="6"/>
      <w:suff w:val="space"/>
      <w:lvlText w:val="%1.%2.%3.%4.%5"/>
      <w:lvlJc w:val="left"/>
      <w:pPr>
        <w:tabs>
          <w:tab w:val="left" w:pos="420"/>
        </w:tabs>
        <w:ind w:left="0" w:firstLine="0"/>
      </w:pPr>
      <w:rPr>
        <w:rFonts w:hint="eastAsia" w:ascii="宋体" w:hAnsi="宋体" w:eastAsia="宋体"/>
        <w:b/>
        <w:bCs/>
        <w:i w:val="0"/>
        <w:iCs w:val="0"/>
        <w:vanish w:val="0"/>
        <w:color w:val="auto"/>
        <w:w w:val="100"/>
        <w:sz w:val="21"/>
        <w:szCs w:val="21"/>
        <w:u w:val="none"/>
      </w:rPr>
    </w:lvl>
    <w:lvl w:ilvl="5" w:tentative="0">
      <w:start w:val="1"/>
      <w:numFmt w:val="decimal"/>
      <w:suff w:val="space"/>
      <w:lvlText w:val="%1.%2.%3.%4.%5.%6"/>
      <w:lvlJc w:val="left"/>
      <w:pPr>
        <w:tabs>
          <w:tab w:val="left" w:pos="420"/>
        </w:tabs>
        <w:ind w:left="0" w:firstLine="0"/>
      </w:pPr>
      <w:rPr>
        <w:rFonts w:hint="eastAsia" w:ascii="宋体" w:hAnsi="宋体" w:eastAsia="宋体"/>
        <w:b/>
        <w:bCs/>
        <w:i w:val="0"/>
        <w:iCs w:val="0"/>
        <w:vanish w:val="0"/>
        <w:color w:val="auto"/>
        <w:w w:val="100"/>
        <w:sz w:val="21"/>
        <w:szCs w:val="21"/>
        <w:u w:val="none"/>
      </w:rPr>
    </w:lvl>
    <w:lvl w:ilvl="6" w:tentative="0">
      <w:start w:val="1"/>
      <w:numFmt w:val="decimal"/>
      <w:suff w:val="space"/>
      <w:lvlText w:val="%1.%2.%3.%4.%5.%6.%7"/>
      <w:lvlJc w:val="left"/>
      <w:pPr>
        <w:tabs>
          <w:tab w:val="left" w:pos="420"/>
        </w:tabs>
        <w:ind w:left="0" w:firstLine="0"/>
      </w:pPr>
      <w:rPr>
        <w:rFonts w:hint="eastAsia" w:ascii="宋体" w:hAnsi="宋体" w:eastAsia="宋体"/>
        <w:b/>
        <w:bCs/>
        <w:i w:val="0"/>
        <w:iCs w:val="0"/>
        <w:vanish w:val="0"/>
        <w:color w:val="auto"/>
        <w:w w:val="100"/>
        <w:sz w:val="21"/>
        <w:szCs w:val="21"/>
        <w:u w:val="none"/>
      </w:rPr>
    </w:lvl>
    <w:lvl w:ilvl="7" w:tentative="0">
      <w:start w:val="1"/>
      <w:numFmt w:val="decimal"/>
      <w:suff w:val="space"/>
      <w:lvlText w:val="%1.%2.%3.%4.%5.%6.%7.%8"/>
      <w:lvlJc w:val="left"/>
      <w:pPr>
        <w:tabs>
          <w:tab w:val="left" w:pos="420"/>
        </w:tabs>
        <w:ind w:left="0" w:firstLine="0"/>
      </w:pPr>
      <w:rPr>
        <w:rFonts w:hint="eastAsia" w:ascii="宋体" w:hAnsi="宋体" w:eastAsia="宋体"/>
        <w:b/>
        <w:bCs/>
        <w:i w:val="0"/>
        <w:iCs w:val="0"/>
        <w:vanish w:val="0"/>
        <w:color w:val="auto"/>
        <w:w w:val="100"/>
        <w:sz w:val="21"/>
        <w:szCs w:val="21"/>
        <w:u w:val="none"/>
      </w:rPr>
    </w:lvl>
    <w:lvl w:ilvl="8" w:tentative="0">
      <w:start w:val="1"/>
      <w:numFmt w:val="decimal"/>
      <w:suff w:val="space"/>
      <w:lvlText w:val="%1.%2.%3.%4.%5.%6.%7.%8.%9"/>
      <w:lvlJc w:val="left"/>
      <w:pPr>
        <w:tabs>
          <w:tab w:val="left" w:pos="420"/>
        </w:tabs>
        <w:ind w:left="0" w:firstLine="0"/>
      </w:pPr>
      <w:rPr>
        <w:rFonts w:hint="eastAsia" w:ascii="宋体" w:hAnsi="宋体" w:eastAsia="宋体"/>
        <w:b/>
        <w:bCs/>
        <w:i w:val="0"/>
        <w:iCs w:val="0"/>
        <w:vanish w:val="0"/>
        <w:color w:val="auto"/>
        <w:w w:val="10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2241"/>
    <w:rsid w:val="00AA27D4"/>
    <w:rsid w:val="00C54EEA"/>
    <w:rsid w:val="00C835ED"/>
    <w:rsid w:val="010F3DDD"/>
    <w:rsid w:val="011F5BCA"/>
    <w:rsid w:val="019E71BD"/>
    <w:rsid w:val="01E00C12"/>
    <w:rsid w:val="02160E34"/>
    <w:rsid w:val="021B6257"/>
    <w:rsid w:val="04360B78"/>
    <w:rsid w:val="04B679C3"/>
    <w:rsid w:val="050801B0"/>
    <w:rsid w:val="0661613A"/>
    <w:rsid w:val="06D36447"/>
    <w:rsid w:val="080F63D8"/>
    <w:rsid w:val="08E505F2"/>
    <w:rsid w:val="09341458"/>
    <w:rsid w:val="099514A1"/>
    <w:rsid w:val="09FF7F32"/>
    <w:rsid w:val="0AAE6AAB"/>
    <w:rsid w:val="0B0912D7"/>
    <w:rsid w:val="0C726C13"/>
    <w:rsid w:val="0CE74E21"/>
    <w:rsid w:val="0F040B48"/>
    <w:rsid w:val="11C934C6"/>
    <w:rsid w:val="11EC625E"/>
    <w:rsid w:val="13462986"/>
    <w:rsid w:val="1447025F"/>
    <w:rsid w:val="14497071"/>
    <w:rsid w:val="14587791"/>
    <w:rsid w:val="15103CF8"/>
    <w:rsid w:val="152206F7"/>
    <w:rsid w:val="152D2DCA"/>
    <w:rsid w:val="1573530D"/>
    <w:rsid w:val="15886EF0"/>
    <w:rsid w:val="15F20827"/>
    <w:rsid w:val="17F16F56"/>
    <w:rsid w:val="181C76BE"/>
    <w:rsid w:val="192E664C"/>
    <w:rsid w:val="195436E9"/>
    <w:rsid w:val="19DD1972"/>
    <w:rsid w:val="1A022DD1"/>
    <w:rsid w:val="1A5250C1"/>
    <w:rsid w:val="1B5662F7"/>
    <w:rsid w:val="1B903DB2"/>
    <w:rsid w:val="1BCA18AE"/>
    <w:rsid w:val="1C141F86"/>
    <w:rsid w:val="1C4B037C"/>
    <w:rsid w:val="1DEC284C"/>
    <w:rsid w:val="1E6523AC"/>
    <w:rsid w:val="1F4432CB"/>
    <w:rsid w:val="208C3A47"/>
    <w:rsid w:val="221C31F5"/>
    <w:rsid w:val="22440422"/>
    <w:rsid w:val="22852558"/>
    <w:rsid w:val="2431259B"/>
    <w:rsid w:val="24542A4B"/>
    <w:rsid w:val="252B18FB"/>
    <w:rsid w:val="25BC0296"/>
    <w:rsid w:val="25F72AEE"/>
    <w:rsid w:val="273A74F0"/>
    <w:rsid w:val="282C4413"/>
    <w:rsid w:val="2928532F"/>
    <w:rsid w:val="2A182153"/>
    <w:rsid w:val="2A1C1FC5"/>
    <w:rsid w:val="2B2E72AB"/>
    <w:rsid w:val="2B420351"/>
    <w:rsid w:val="2C2379BF"/>
    <w:rsid w:val="2D5C67E7"/>
    <w:rsid w:val="2F6F1730"/>
    <w:rsid w:val="2FC920C5"/>
    <w:rsid w:val="31690CD8"/>
    <w:rsid w:val="31A15F24"/>
    <w:rsid w:val="31C30C1A"/>
    <w:rsid w:val="32FE6D0F"/>
    <w:rsid w:val="3307777B"/>
    <w:rsid w:val="36843254"/>
    <w:rsid w:val="36DB46CF"/>
    <w:rsid w:val="395347B5"/>
    <w:rsid w:val="397F3FCC"/>
    <w:rsid w:val="39A232A0"/>
    <w:rsid w:val="39E745AA"/>
    <w:rsid w:val="3AD574BB"/>
    <w:rsid w:val="3B5A6BBB"/>
    <w:rsid w:val="3CC65204"/>
    <w:rsid w:val="3CF84984"/>
    <w:rsid w:val="3E677953"/>
    <w:rsid w:val="3E840C6A"/>
    <w:rsid w:val="3EDA13A6"/>
    <w:rsid w:val="3F7C3FDA"/>
    <w:rsid w:val="42522227"/>
    <w:rsid w:val="42F058B7"/>
    <w:rsid w:val="433648BA"/>
    <w:rsid w:val="436109F6"/>
    <w:rsid w:val="4373436C"/>
    <w:rsid w:val="43CE2BEC"/>
    <w:rsid w:val="441A38D4"/>
    <w:rsid w:val="46634788"/>
    <w:rsid w:val="47D3046F"/>
    <w:rsid w:val="48041351"/>
    <w:rsid w:val="488E42C9"/>
    <w:rsid w:val="4A672C72"/>
    <w:rsid w:val="4ABB034A"/>
    <w:rsid w:val="4AF562BD"/>
    <w:rsid w:val="4B9B3A30"/>
    <w:rsid w:val="4BC77339"/>
    <w:rsid w:val="4C164D19"/>
    <w:rsid w:val="4C9236C5"/>
    <w:rsid w:val="4CC53CC9"/>
    <w:rsid w:val="4DB5279C"/>
    <w:rsid w:val="4ED533A1"/>
    <w:rsid w:val="501C2E48"/>
    <w:rsid w:val="505C172E"/>
    <w:rsid w:val="517B1258"/>
    <w:rsid w:val="52710CF1"/>
    <w:rsid w:val="52990A6C"/>
    <w:rsid w:val="52C12107"/>
    <w:rsid w:val="52F46F0B"/>
    <w:rsid w:val="53877224"/>
    <w:rsid w:val="53C56327"/>
    <w:rsid w:val="53D8014D"/>
    <w:rsid w:val="53E105FA"/>
    <w:rsid w:val="54101A0E"/>
    <w:rsid w:val="55E064E0"/>
    <w:rsid w:val="572C6D10"/>
    <w:rsid w:val="57940BED"/>
    <w:rsid w:val="579E7A0A"/>
    <w:rsid w:val="581A015D"/>
    <w:rsid w:val="585A4189"/>
    <w:rsid w:val="585B0F82"/>
    <w:rsid w:val="59343DA7"/>
    <w:rsid w:val="59445BC2"/>
    <w:rsid w:val="5C184F01"/>
    <w:rsid w:val="5D512D7C"/>
    <w:rsid w:val="5D835179"/>
    <w:rsid w:val="5DC34279"/>
    <w:rsid w:val="5FC42B50"/>
    <w:rsid w:val="6004528C"/>
    <w:rsid w:val="608816D1"/>
    <w:rsid w:val="60EF4E7F"/>
    <w:rsid w:val="61455008"/>
    <w:rsid w:val="62362426"/>
    <w:rsid w:val="6370472C"/>
    <w:rsid w:val="63733267"/>
    <w:rsid w:val="63FD1752"/>
    <w:rsid w:val="665233C1"/>
    <w:rsid w:val="67451BAE"/>
    <w:rsid w:val="67B24991"/>
    <w:rsid w:val="690F2743"/>
    <w:rsid w:val="69762A7A"/>
    <w:rsid w:val="6AD9688B"/>
    <w:rsid w:val="6CAC71E4"/>
    <w:rsid w:val="6D0E3F22"/>
    <w:rsid w:val="6D303D08"/>
    <w:rsid w:val="6DBC77E8"/>
    <w:rsid w:val="6E845B51"/>
    <w:rsid w:val="6F360F3E"/>
    <w:rsid w:val="6FCF00AA"/>
    <w:rsid w:val="701D6125"/>
    <w:rsid w:val="717C3997"/>
    <w:rsid w:val="72E17E80"/>
    <w:rsid w:val="73C14A57"/>
    <w:rsid w:val="749609C5"/>
    <w:rsid w:val="75423411"/>
    <w:rsid w:val="754B74E1"/>
    <w:rsid w:val="75D30027"/>
    <w:rsid w:val="768C48B4"/>
    <w:rsid w:val="77327CAF"/>
    <w:rsid w:val="78947BD8"/>
    <w:rsid w:val="7A901095"/>
    <w:rsid w:val="7BA8267B"/>
    <w:rsid w:val="7C5611AA"/>
    <w:rsid w:val="7C9011D9"/>
    <w:rsid w:val="7DC651C5"/>
    <w:rsid w:val="7E207132"/>
    <w:rsid w:val="7F087623"/>
    <w:rsid w:val="7F617B36"/>
    <w:rsid w:val="7FCC2834"/>
    <w:rsid w:val="7FEC4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widowControl w:val="0"/>
      <w:numPr>
        <w:ilvl w:val="0"/>
        <w:numId w:val="1"/>
      </w:numPr>
      <w:spacing w:before="340" w:beforeLines="50" w:after="330" w:afterLines="50" w:line="360" w:lineRule="auto"/>
      <w:ind w:firstLine="40" w:firstLineChars="0"/>
      <w:jc w:val="left"/>
      <w:outlineLvl w:val="0"/>
    </w:pPr>
    <w:rPr>
      <w:rFonts w:ascii="宋体" w:hAnsi="宋体" w:eastAsia="宋体" w:cs="宋体"/>
      <w:b/>
      <w:bCs/>
      <w:kern w:val="44"/>
      <w:sz w:val="28"/>
      <w:szCs w:val="28"/>
      <w:lang w:val="en-US" w:eastAsia="zh-CN" w:bidi="ar-SA"/>
    </w:rPr>
  </w:style>
  <w:style w:type="paragraph" w:styleId="3">
    <w:name w:val="heading 2"/>
    <w:next w:val="1"/>
    <w:unhideWhenUsed/>
    <w:qFormat/>
    <w:uiPriority w:val="9"/>
    <w:pPr>
      <w:keepNext/>
      <w:keepLines/>
      <w:widowControl w:val="0"/>
      <w:numPr>
        <w:ilvl w:val="1"/>
        <w:numId w:val="1"/>
      </w:numPr>
      <w:spacing w:before="260" w:beforeLines="50" w:after="260" w:afterLines="50" w:line="360" w:lineRule="auto"/>
      <w:ind w:firstLine="40" w:firstLineChars="0"/>
      <w:jc w:val="left"/>
      <w:outlineLvl w:val="1"/>
    </w:pPr>
    <w:rPr>
      <w:rFonts w:ascii="宋体" w:hAnsi="宋体" w:eastAsia="宋体" w:cs="宋体"/>
      <w:b/>
      <w:bCs/>
      <w:kern w:val="0"/>
      <w:sz w:val="24"/>
      <w:szCs w:val="24"/>
      <w:lang w:val="en-US" w:eastAsia="zh-CN" w:bidi="ar-SA"/>
    </w:rPr>
  </w:style>
  <w:style w:type="paragraph" w:styleId="4">
    <w:name w:val="heading 3"/>
    <w:next w:val="1"/>
    <w:unhideWhenUsed/>
    <w:qFormat/>
    <w:uiPriority w:val="9"/>
    <w:pPr>
      <w:keepNext/>
      <w:keepLines/>
      <w:widowControl w:val="0"/>
      <w:numPr>
        <w:ilvl w:val="2"/>
        <w:numId w:val="1"/>
      </w:numPr>
      <w:spacing w:before="260" w:beforeLines="50" w:after="260" w:afterLines="50" w:line="360" w:lineRule="auto"/>
      <w:ind w:firstLine="40" w:firstLineChars="0"/>
      <w:jc w:val="left"/>
      <w:outlineLvl w:val="2"/>
    </w:pPr>
    <w:rPr>
      <w:rFonts w:ascii="宋体" w:hAnsi="宋体" w:eastAsia="宋体" w:cs="宋体"/>
      <w:b/>
      <w:bCs/>
      <w:kern w:val="0"/>
      <w:sz w:val="24"/>
      <w:szCs w:val="24"/>
      <w:lang w:val="en-US" w:eastAsia="zh-CN" w:bidi="ar-SA"/>
    </w:rPr>
  </w:style>
  <w:style w:type="paragraph" w:styleId="5">
    <w:name w:val="heading 4"/>
    <w:next w:val="1"/>
    <w:unhideWhenUsed/>
    <w:qFormat/>
    <w:uiPriority w:val="9"/>
    <w:pPr>
      <w:keepNext/>
      <w:keepLines/>
      <w:widowControl w:val="0"/>
      <w:numPr>
        <w:ilvl w:val="3"/>
        <w:numId w:val="1"/>
      </w:numPr>
      <w:spacing w:before="280" w:beforeLines="50" w:after="290" w:afterLines="50" w:line="360" w:lineRule="auto"/>
      <w:ind w:firstLine="40" w:firstLineChars="0"/>
      <w:jc w:val="left"/>
      <w:outlineLvl w:val="3"/>
    </w:pPr>
    <w:rPr>
      <w:rFonts w:ascii="宋体" w:hAnsi="宋体" w:eastAsia="宋体" w:cs="宋体"/>
      <w:b/>
      <w:bCs/>
      <w:kern w:val="0"/>
      <w:sz w:val="21"/>
      <w:szCs w:val="21"/>
      <w:lang w:val="en-US" w:eastAsia="zh-CN" w:bidi="ar-SA"/>
    </w:rPr>
  </w:style>
  <w:style w:type="paragraph" w:styleId="6">
    <w:name w:val="heading 5"/>
    <w:next w:val="1"/>
    <w:unhideWhenUsed/>
    <w:qFormat/>
    <w:uiPriority w:val="9"/>
    <w:pPr>
      <w:keepNext/>
      <w:keepLines/>
      <w:widowControl w:val="0"/>
      <w:numPr>
        <w:ilvl w:val="4"/>
        <w:numId w:val="1"/>
      </w:numPr>
      <w:spacing w:before="280" w:beforeLines="50" w:after="290" w:afterLines="50" w:line="360" w:lineRule="auto"/>
      <w:ind w:firstLine="40" w:firstLineChars="0"/>
      <w:jc w:val="left"/>
      <w:outlineLvl w:val="4"/>
    </w:pPr>
    <w:rPr>
      <w:rFonts w:ascii="宋体" w:hAnsi="宋体" w:eastAsia="宋体" w:cs="宋体"/>
      <w:b/>
      <w:bCs/>
      <w:kern w:val="2"/>
      <w:sz w:val="21"/>
      <w:szCs w:val="21"/>
      <w:lang w:val="en-US" w:eastAsia="zh-CN" w:bidi="ar-SA"/>
    </w:rPr>
  </w:style>
  <w:style w:type="character" w:default="1" w:styleId="15">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7">
    <w:name w:val="annotation text"/>
    <w:basedOn w:val="1"/>
    <w:qFormat/>
    <w:uiPriority w:val="0"/>
    <w:pPr>
      <w:jc w:val="left"/>
    </w:pPr>
  </w:style>
  <w:style w:type="paragraph" w:styleId="8">
    <w:name w:val="Body Text"/>
    <w:unhideWhenUsed/>
    <w:qFormat/>
    <w:uiPriority w:val="99"/>
    <w:pPr>
      <w:widowControl w:val="0"/>
      <w:spacing w:before="43" w:line="360" w:lineRule="auto"/>
      <w:ind w:left="1040" w:firstLine="40" w:firstLineChars="200"/>
      <w:jc w:val="both"/>
    </w:pPr>
    <w:rPr>
      <w:rFonts w:ascii="宋体" w:hAnsi="宋体" w:eastAsia="宋体" w:cs="宋体"/>
      <w:kern w:val="2"/>
      <w:sz w:val="21"/>
      <w:szCs w:val="21"/>
      <w:lang w:val="en-US" w:eastAsia="en-US" w:bidi="en-US"/>
    </w:rPr>
  </w:style>
  <w:style w:type="paragraph" w:styleId="9">
    <w:name w:val="toc 3"/>
    <w:next w:val="1"/>
    <w:unhideWhenUsed/>
    <w:qFormat/>
    <w:uiPriority w:val="39"/>
    <w:pPr>
      <w:widowControl w:val="0"/>
      <w:spacing w:line="360" w:lineRule="auto"/>
      <w:ind w:left="840" w:leftChars="400" w:firstLine="40" w:firstLineChars="200"/>
      <w:jc w:val="both"/>
    </w:pPr>
    <w:rPr>
      <w:rFonts w:ascii="宋体" w:hAnsi="宋体" w:eastAsia="宋体" w:cs="宋体"/>
      <w:kern w:val="2"/>
      <w:sz w:val="21"/>
      <w:szCs w:val="21"/>
      <w:lang w:val="en-US" w:eastAsia="zh-CN" w:bidi="ar-SA"/>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next w:val="1"/>
    <w:unhideWhenUsed/>
    <w:qFormat/>
    <w:uiPriority w:val="39"/>
    <w:pPr>
      <w:widowControl w:val="0"/>
      <w:spacing w:line="360" w:lineRule="auto"/>
      <w:ind w:firstLine="40" w:firstLineChars="200"/>
      <w:jc w:val="both"/>
    </w:pPr>
    <w:rPr>
      <w:rFonts w:ascii="宋体" w:hAnsi="宋体" w:eastAsia="宋体" w:cs="宋体"/>
      <w:kern w:val="2"/>
      <w:sz w:val="21"/>
      <w:szCs w:val="21"/>
      <w:lang w:val="en-US" w:eastAsia="zh-CN" w:bidi="ar-SA"/>
    </w:rPr>
  </w:style>
  <w:style w:type="paragraph" w:styleId="13">
    <w:name w:val="toc 4"/>
    <w:next w:val="1"/>
    <w:unhideWhenUsed/>
    <w:qFormat/>
    <w:uiPriority w:val="39"/>
    <w:pPr>
      <w:widowControl w:val="0"/>
      <w:spacing w:line="360" w:lineRule="auto"/>
      <w:ind w:left="1260" w:leftChars="600" w:firstLine="40" w:firstLineChars="200"/>
      <w:jc w:val="both"/>
    </w:pPr>
    <w:rPr>
      <w:rFonts w:ascii="宋体" w:hAnsi="宋体" w:eastAsia="宋体" w:cs="宋体"/>
      <w:kern w:val="2"/>
      <w:sz w:val="21"/>
      <w:szCs w:val="21"/>
      <w:lang w:val="en-US" w:eastAsia="zh-CN" w:bidi="ar-SA"/>
    </w:rPr>
  </w:style>
  <w:style w:type="paragraph" w:styleId="14">
    <w:name w:val="toc 2"/>
    <w:next w:val="1"/>
    <w:unhideWhenUsed/>
    <w:qFormat/>
    <w:uiPriority w:val="39"/>
    <w:pPr>
      <w:widowControl w:val="0"/>
      <w:spacing w:line="360" w:lineRule="auto"/>
      <w:ind w:left="420" w:leftChars="200" w:firstLine="40" w:firstLineChars="200"/>
      <w:jc w:val="both"/>
    </w:pPr>
    <w:rPr>
      <w:rFonts w:ascii="宋体" w:hAnsi="宋体" w:eastAsia="宋体" w:cs="宋体"/>
      <w:kern w:val="2"/>
      <w:sz w:val="21"/>
      <w:szCs w:val="21"/>
      <w:lang w:val="en-US" w:eastAsia="zh-CN" w:bidi="ar-SA"/>
    </w:rPr>
  </w:style>
  <w:style w:type="paragraph" w:customStyle="1" w:styleId="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8">
    <w:name w:val="TOC 标题1"/>
    <w:next w:val="1"/>
    <w:unhideWhenUsed/>
    <w:qFormat/>
    <w:uiPriority w:val="39"/>
    <w:pPr>
      <w:keepNext/>
      <w:keepLines/>
      <w:widowControl/>
      <w:numPr>
        <w:ilvl w:val="0"/>
        <w:numId w:val="0"/>
      </w:numPr>
      <w:spacing w:before="240" w:beforeLines="0" w:after="0" w:afterLines="0" w:line="259" w:lineRule="auto"/>
      <w:ind w:firstLine="40" w:firstLineChars="0"/>
      <w:jc w:val="left"/>
      <w:outlineLvl w:val="9"/>
    </w:pPr>
    <w:rPr>
      <w:rFonts w:ascii="Cambria" w:hAnsi="Cambria" w:eastAsia="宋体" w:cs="Times New Roman"/>
      <w:color w:val="366091"/>
      <w:kern w:val="0"/>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25</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2021-12-22T01:07:55Z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