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880" w:firstLineChars="200"/>
        <w:jc w:val="center"/>
        <w:textAlignment w:val="auto"/>
        <w:rPr>
          <w:rFonts w:hint="eastAsia" w:ascii="宋体" w:hAnsi="宋体" w:eastAsia="宋体" w:cs="宋体"/>
          <w:i w:val="0"/>
          <w:caps w:val="0"/>
          <w:color w:val="333333"/>
          <w:spacing w:val="0"/>
          <w:kern w:val="2"/>
          <w:sz w:val="44"/>
          <w:szCs w:val="44"/>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880" w:firstLineChars="200"/>
        <w:jc w:val="center"/>
        <w:textAlignment w:val="auto"/>
        <w:rPr>
          <w:rFonts w:hint="eastAsia" w:ascii="宋体" w:hAnsi="宋体" w:eastAsia="宋体" w:cs="宋体"/>
          <w:i w:val="0"/>
          <w:caps w:val="0"/>
          <w:color w:val="333333"/>
          <w:spacing w:val="0"/>
          <w:kern w:val="2"/>
          <w:sz w:val="44"/>
          <w:szCs w:val="44"/>
          <w:shd w:val="clear" w:fill="FFFFFF"/>
          <w:lang w:val="en-US" w:eastAsia="zh-CN" w:bidi="ar-SA"/>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云南省人力资源和社会保障厅  云南省卫生和计划生育委员会关于统一城乡居民基本</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医疗保险定点医疗机构管理的通知</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outlineLvl w:val="9"/>
        <w:rPr>
          <w:rFonts w:hint="default" w:ascii="楷体_GB2312" w:hAnsi="楷体_GB2312" w:eastAsia="楷体_GB2312" w:cs="楷体_GB2312"/>
          <w:i w:val="0"/>
          <w:caps w:val="0"/>
          <w:color w:val="333333"/>
          <w:spacing w:val="0"/>
          <w:sz w:val="32"/>
          <w:szCs w:val="32"/>
          <w:shd w:val="clear" w:fill="FFFFFF"/>
          <w:lang w:val="en-US" w:eastAsia="zh-CN"/>
        </w:rPr>
      </w:pPr>
      <w:r>
        <w:rPr>
          <w:rFonts w:hint="default" w:ascii="楷体_GB2312" w:hAnsi="楷体_GB2312" w:eastAsia="楷体_GB2312" w:cs="楷体_GB2312"/>
          <w:i w:val="0"/>
          <w:caps w:val="0"/>
          <w:color w:val="333333"/>
          <w:spacing w:val="0"/>
          <w:sz w:val="32"/>
          <w:szCs w:val="32"/>
          <w:shd w:val="clear" w:fill="FFFFFF"/>
          <w:lang w:val="en-US" w:eastAsia="zh-CN"/>
        </w:rPr>
        <w:t>云人社发〔2016〕308号</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各州（市）人力资源和社会保障局、卫生和计划生育委员会：</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根据《云南省人民政府关于整合城乡居民基本医疗保险制度的实施意见》（云政发〔2016〕72号）、《云南省人力资源和社会保障厅关于完善基本医疗保险定点医药机构协议管理的实施意见》（云人社发〔2016〕39号）和《 云南省卫生和计划生育委员会关于印发云南省新型农村合作医疗定点医疗机构管理办法（2015年修订版）（云卫基层发〔2016〕10号）》，现就统一城乡居民基本医疗保险（以下简称城乡居民医保）定点医疗机构管理的若干问题通知如下：</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一、统一城乡居民医保定点医疗机构范围</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一）按照先纳入、后规范的原则，整合城镇居民医疗保险（以下简称城镇居民医保）和新型农村合作医疗（以下简称新农合）定点医疗机构范围，实行统一的城乡居民医保定点医疗机构，加强管理、控制不合理医疗费上涨，确保城乡居民医保基金安全。</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二）各地要将统筹区内原城镇居民医保或新农合定点医疗机构（在本通知下发之前已经定点或符合条件接受申请的医疗机构）统一纳入城乡居民医保定点医疗机构范围，违反协议管理规定以及欺诈骗取医保基金或新农合基金被取消定点的医疗机构不得纳入定点。</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（三）定点医疗机构应当为参保人员提供合法、合规、合理、安全有效的医疗服务，鼓励将优质医疗服务延伸偏远地区，为城乡居民医保参保人员提供便捷医疗服务。</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（四）医疗机构可向城乡居民医保管理经办机构申请定点，各统筹地按照统一程序办理并将相关信息及时报省级管理经办机构，同时主动向社会公开定点医疗机构情况。</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二、统一定点协议管理</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一）强化定点协议管理。城乡居民医保定点医疗机构实行定点协议管理，简化办理程序；公立医疗机构、民营医疗机构相同准入条件、相同退出机制、相同监督管理、相同审核标准。管理经办机构应按照法律法规、国家和省有关城乡居民医保政策、医疗卫生政策规定与定点医疗机构签订协议。</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二）规范定点准入条件。定点医疗机构应是依法设立的各级各类医疗机构（包括公立医疗机构、非公立医疗机构及其他性质医疗机构），具备为参保人员提供基本医疗服务条件，自愿申请并承诺为城乡居民提供合法合理、安全有效的基本医疗服务，鼓励医养结合机构提供基本医疗服务。对存在医托、发布虚假医疗广告，内部管理混乱被卫生计生行政部门认定存在严重医疗安全隐患或出租、承包科室，以及造成其它不良社会影响的医疗机构不接受定点申报。</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（三）建立定点退出机制。经查实存在违反协议管理、欺诈骗取医疗保险基金或其他违法违规行为的定点医疗机构，暂停或取消其定点。</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四）优化医疗资源配置。各统筹地区定点医疗机构数量要兼顾区域卫生规划，合理配置医疗资源。原则上，统筹地每千参保人占住院床位比低于规划指标的可适当扩大定点范围；高于规划指标的，通过建立退出机制均衡参保规模和定点医疗机构数量。省级管理经办机构根据各统筹地定点医疗机构数量（住院床位数）及各地统筹规模（参保人数），向社会公开各统筹地每千参保人占有定点医疗机构住院床位数。</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三、明确定点监管责任</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城乡居民医保定点医疗机构实行分级定点和分级管理，原则上，各县区经办机构负责本县区的县区级医疗机构、乡镇卫生院、村卫生室、社区卫生服务中心和卫生服务站定点确定、退出和监管；各统筹地区经办机构负责本统筹区内州市级及其他医疗机构定点的确定、退出和监管，指导统筹区内定点管理工作；省级管理经办机构负责省级定点医疗机构的确定、退出和监管，负责省外异地就医定点医疗机构的确定及对全省定点医疗机构的指导和监管。</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明确各级、各部门监管责任，医疗行为监管主要由卫生计生部门负责，医保基金监管主要由城乡居民医保经办机构负责。</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四、强化就医管理</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（一）参保城乡居民按有关政策规定在定点医疗机构范围内选择就医，符合规定的医疗费纳入医保支付；病情危急或其他特殊情况可以在非定点范围就医并及时向医保经办机构备案，医疗费按规定纳入医保支付。</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二）通过实施分级诊疗和双向转诊，构建合理就医秩序。卫生计生部门制定分级诊疗实施办法，实行基层首诊、双向转诊、急慢分治、上下联动，参保人员应当遵守就医秩序、配合分级诊疗双向转诊，城乡居民医保经办机构从基金支付、预算确定等方面同步跟进、配合分级诊疗。</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三）加强就医管理，引导合理医疗。按照不同级别医疗机构提供合理医疗服务，统筹门诊和住院，引导合理医疗。鼓励需要长期治疗的慢性病、特殊疾病在门诊治疗，控制慢性病住院，鼓励符合条件的医疗机构开设日间病房，提供日间治疗和手术，支持开展家庭医生签约服务。</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四）加强药品耗材及诊疗项目管理。全省统一城乡居民医保药品、耗材及诊疗项目范围，各州市县级经办管理机构及定点医疗机构统一执行、不得调整，参保人员在规定范围内的医疗费用纳入医保支付。省级管理机构根据管理需要和基金风险适时调整药品、耗材及诊疗项目范围，国家医保目录调整随之调整。</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突出保基本功能，医保基金支付重点保证主要治疗性用药、控制辅助用药、保证国产医用耗材、控制进口高值耗材、保证慢性病门诊治疗用药、控制慢性病住院用药，按照整治抗生素滥用、辅助用药、临床诊疗规范、用药指南和临床路径的规定提供医疗服务并加强管理。</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黑体" w:hAnsi="黑体" w:eastAsia="黑体" w:cs="黑体"/>
          <w:i w:val="0"/>
          <w:caps w:val="0"/>
          <w:color w:val="333333"/>
          <w:spacing w:val="0"/>
          <w:kern w:val="2"/>
          <w:sz w:val="32"/>
          <w:szCs w:val="32"/>
          <w:shd w:val="clear" w:fill="FFFFFF"/>
          <w:lang w:val="en-US" w:eastAsia="zh-CN" w:bidi="ar-SA"/>
        </w:rPr>
      </w:pPr>
      <w:r>
        <w:rPr>
          <w:rFonts w:hint="eastAsia" w:ascii="黑体" w:hAnsi="黑体" w:eastAsia="黑体" w:cs="黑体"/>
          <w:i w:val="0"/>
          <w:caps w:val="0"/>
          <w:color w:val="333333"/>
          <w:spacing w:val="0"/>
          <w:kern w:val="2"/>
          <w:sz w:val="32"/>
          <w:szCs w:val="32"/>
          <w:shd w:val="clear" w:fill="FFFFFF"/>
          <w:lang w:val="en-US" w:eastAsia="zh-CN" w:bidi="ar-SA"/>
        </w:rPr>
        <w:t>五、完善费用审核及支付结算</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一）定点医疗机构通过信息系统为参保人员提供费用即时结报服务。参保人员在定点医疗机构就医，按政策规定支付应由个人承担的费用，其余部分由医保经办机构与定点医院结算，医保经办机构确保合规资金及时拨付。</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（二）定点医疗机构要按照国家和省城乡居民医保相关政策、临床路径、临床诊疗技术规范、用药指南和辅助用药等规定切实控制医疗费用不合理上涨，医保经办机构要按照以上原则加强医疗费审核。</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三）管理经办机构通过完善医保支付方式经充分协商，合理确定医保支付标准，切实降低参保人员医疗负担。定点医疗机构无论是营利性或非营利性，医保支付统一按照物价部门公布的非营利性价格或医保支付标准执行。</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fill="FFFFFF"/>
          <w:lang w:val="en-US" w:eastAsia="zh-CN" w:bidi="ar-SA"/>
        </w:rPr>
      </w:pPr>
      <w:r>
        <w:rPr>
          <w:rFonts w:hint="eastAsia" w:ascii="仿宋_GB2312" w:hAnsi="仿宋_GB2312" w:eastAsia="仿宋_GB2312" w:cs="仿宋_GB2312"/>
          <w:i w:val="0"/>
          <w:caps w:val="0"/>
          <w:color w:val="333333"/>
          <w:spacing w:val="0"/>
          <w:kern w:val="2"/>
          <w:sz w:val="32"/>
          <w:szCs w:val="32"/>
          <w:shd w:val="clear" w:fill="FFFFFF"/>
          <w:lang w:val="en-US" w:eastAsia="zh-CN" w:bidi="ar-SA"/>
        </w:rPr>
        <w:t>六、本通知自2017年1月1日起执行。各地各部门要按照本通知要求抓好贯彻落实，加强定点医疗机构管理，确保参保人员按政策规定享受医疗待遇，有效控制医保基金风险。在执行过程中有什么问题，请及时向省人力资源社会保障厅和省卫生计生委报告。</w:t>
      </w:r>
    </w:p>
    <w:p>
      <w:pPr>
        <w:pStyle w:val="2"/>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p>
    <w:p>
      <w:pPr>
        <w:pStyle w:val="2"/>
        <w:keepNext w:val="0"/>
        <w:keepLines w:val="0"/>
        <w:pageBreakBefore w:val="0"/>
        <w:widowControl w:val="0"/>
        <w:kinsoku/>
        <w:wordWrap/>
        <w:overflowPunct/>
        <w:topLinePunct w:val="0"/>
        <w:autoSpaceDE w:val="0"/>
        <w:autoSpaceDN w:val="0"/>
        <w:bidi w:val="0"/>
        <w:adjustRightInd w:val="0"/>
        <w:snapToGrid/>
        <w:spacing w:line="240" w:lineRule="auto"/>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云南省人力资源和社会保障厅  云南省卫生和计划</w:t>
      </w:r>
      <w:bookmarkStart w:id="0" w:name="_GoBack"/>
      <w:bookmarkEnd w:id="0"/>
      <w:r>
        <w:rPr>
          <w:rFonts w:hint="default" w:ascii="仿宋_GB2312" w:hAnsi="仿宋_GB2312" w:eastAsia="仿宋_GB2312" w:cs="仿宋_GB2312"/>
          <w:i w:val="0"/>
          <w:caps w:val="0"/>
          <w:color w:val="333333"/>
          <w:spacing w:val="0"/>
          <w:kern w:val="2"/>
          <w:sz w:val="32"/>
          <w:szCs w:val="32"/>
          <w:shd w:val="clear" w:fill="FFFFFF"/>
          <w:lang w:val="en-US" w:eastAsia="zh-CN" w:bidi="ar-SA"/>
        </w:rPr>
        <w:t>生育委员会</w:t>
      </w:r>
    </w:p>
    <w:p>
      <w:pPr>
        <w:pStyle w:val="2"/>
        <w:keepNext w:val="0"/>
        <w:keepLines w:val="0"/>
        <w:pageBreakBefore w:val="0"/>
        <w:widowControl w:val="0"/>
        <w:kinsoku/>
        <w:wordWrap/>
        <w:overflowPunct/>
        <w:topLinePunct w:val="0"/>
        <w:autoSpaceDE w:val="0"/>
        <w:autoSpaceDN w:val="0"/>
        <w:bidi w:val="0"/>
        <w:adjustRightInd w:val="0"/>
        <w:snapToGrid/>
        <w:spacing w:line="240" w:lineRule="auto"/>
        <w:ind w:firstLine="5440" w:firstLineChars="1700"/>
        <w:jc w:val="both"/>
        <w:textAlignment w:val="auto"/>
        <w:rPr>
          <w:rFonts w:hint="default" w:ascii="仿宋_GB2312" w:hAnsi="仿宋_GB2312" w:eastAsia="仿宋_GB2312" w:cs="仿宋_GB2312"/>
          <w:i w:val="0"/>
          <w:caps w:val="0"/>
          <w:color w:val="333333"/>
          <w:spacing w:val="0"/>
          <w:kern w:val="2"/>
          <w:sz w:val="32"/>
          <w:szCs w:val="32"/>
          <w:shd w:val="clear" w:fill="FFFFFF"/>
          <w:lang w:val="en-US" w:eastAsia="zh-CN" w:bidi="ar-SA"/>
        </w:rPr>
      </w:pPr>
      <w:r>
        <w:rPr>
          <w:rFonts w:hint="default" w:ascii="仿宋_GB2312" w:hAnsi="仿宋_GB2312" w:eastAsia="仿宋_GB2312" w:cs="仿宋_GB2312"/>
          <w:i w:val="0"/>
          <w:caps w:val="0"/>
          <w:color w:val="333333"/>
          <w:spacing w:val="0"/>
          <w:kern w:val="2"/>
          <w:sz w:val="32"/>
          <w:szCs w:val="32"/>
          <w:shd w:val="clear" w:fill="FFFFFF"/>
          <w:lang w:val="en-US" w:eastAsia="zh-CN" w:bidi="ar-SA"/>
        </w:rPr>
        <w:t>2016年9月29日</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1"/>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12"/>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云南省医疗保障局发布     </w:t>
    </w:r>
  </w:p>
  <w:p>
    <w:pPr>
      <w:pStyle w:val="12"/>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12"/>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云南省医疗保障局行政规范性文件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9005D"/>
    <w:multiLevelType w:val="multilevel"/>
    <w:tmpl w:val="2819005D"/>
    <w:lvl w:ilvl="0" w:tentative="0">
      <w:start w:val="1"/>
      <w:numFmt w:val="decimal"/>
      <w:pStyle w:val="3"/>
      <w:suff w:val="space"/>
      <w:lvlText w:val="%1"/>
      <w:lvlJc w:val="left"/>
      <w:pPr>
        <w:tabs>
          <w:tab w:val="left" w:pos="420"/>
        </w:tabs>
        <w:ind w:left="0" w:firstLine="0"/>
      </w:pPr>
      <w:rPr>
        <w:rFonts w:hint="eastAsia" w:ascii="宋体" w:hAnsi="宋体" w:eastAsia="宋体"/>
        <w:b/>
        <w:bCs/>
        <w:i w:val="0"/>
        <w:iCs w:val="0"/>
        <w:caps w:val="0"/>
        <w:strike w:val="0"/>
        <w:dstrike w:val="0"/>
        <w:vanish w:val="0"/>
        <w:color w:val="auto"/>
        <w:w w:val="100"/>
        <w:sz w:val="28"/>
        <w:szCs w:val="28"/>
        <w:u w:val="none"/>
        <w:vertAlign w:val="baseline"/>
      </w:rPr>
    </w:lvl>
    <w:lvl w:ilvl="1" w:tentative="0">
      <w:start w:val="1"/>
      <w:numFmt w:val="decimal"/>
      <w:pStyle w:val="4"/>
      <w:suff w:val="space"/>
      <w:lvlText w:val="%1.%2"/>
      <w:lvlJc w:val="left"/>
      <w:pPr>
        <w:tabs>
          <w:tab w:val="left" w:pos="420"/>
        </w:tabs>
        <w:ind w:left="-105" w:firstLine="0"/>
      </w:pPr>
      <w:rPr>
        <w:rFonts w:hint="eastAsia" w:ascii="宋体" w:hAnsi="宋体" w:eastAsia="宋体"/>
        <w:b/>
        <w:bCs/>
        <w:i w:val="0"/>
        <w:iCs w:val="0"/>
        <w:vanish w:val="0"/>
        <w:color w:val="auto"/>
        <w:w w:val="100"/>
        <w:sz w:val="24"/>
        <w:szCs w:val="24"/>
        <w:u w:val="none"/>
      </w:rPr>
    </w:lvl>
    <w:lvl w:ilvl="2" w:tentative="0">
      <w:start w:val="1"/>
      <w:numFmt w:val="decimal"/>
      <w:pStyle w:val="5"/>
      <w:suff w:val="space"/>
      <w:lvlText w:val="%1.%2.%3"/>
      <w:lvlJc w:val="left"/>
      <w:pPr>
        <w:tabs>
          <w:tab w:val="left" w:pos="420"/>
        </w:tabs>
        <w:ind w:left="0" w:firstLine="0"/>
      </w:pPr>
      <w:rPr>
        <w:rFonts w:hint="eastAsia" w:ascii="宋体" w:hAnsi="宋体" w:eastAsia="宋体"/>
        <w:b/>
        <w:bCs/>
        <w:i w:val="0"/>
        <w:iCs w:val="0"/>
        <w:vanish w:val="0"/>
        <w:color w:val="auto"/>
        <w:w w:val="100"/>
        <w:sz w:val="24"/>
        <w:szCs w:val="24"/>
        <w:u w:val="none"/>
      </w:rPr>
    </w:lvl>
    <w:lvl w:ilvl="3" w:tentative="0">
      <w:start w:val="1"/>
      <w:numFmt w:val="decimal"/>
      <w:pStyle w:val="6"/>
      <w:suff w:val="space"/>
      <w:lvlText w:val="%1.%2.%3.%4"/>
      <w:lvlJc w:val="left"/>
      <w:pPr>
        <w:tabs>
          <w:tab w:val="left" w:pos="420"/>
        </w:tabs>
        <w:ind w:left="0" w:firstLine="0"/>
      </w:pPr>
      <w:rPr>
        <w:rFonts w:hint="eastAsia" w:ascii="宋体" w:hAnsi="宋体" w:eastAsia="宋体"/>
        <w:b/>
        <w:bCs/>
        <w:i w:val="0"/>
        <w:iCs w:val="0"/>
        <w:vanish w:val="0"/>
        <w:color w:val="auto"/>
        <w:w w:val="100"/>
        <w:sz w:val="21"/>
        <w:szCs w:val="21"/>
        <w:u w:val="none"/>
      </w:rPr>
    </w:lvl>
    <w:lvl w:ilvl="4" w:tentative="0">
      <w:start w:val="1"/>
      <w:numFmt w:val="decimal"/>
      <w:pStyle w:val="7"/>
      <w:suff w:val="space"/>
      <w:lvlText w:val="%1.%2.%3.%4.%5"/>
      <w:lvlJc w:val="left"/>
      <w:pPr>
        <w:tabs>
          <w:tab w:val="left" w:pos="420"/>
        </w:tabs>
        <w:ind w:left="0" w:firstLine="0"/>
      </w:pPr>
      <w:rPr>
        <w:rFonts w:hint="eastAsia" w:ascii="宋体" w:hAnsi="宋体" w:eastAsia="宋体"/>
        <w:b/>
        <w:bCs/>
        <w:i w:val="0"/>
        <w:iCs w:val="0"/>
        <w:vanish w:val="0"/>
        <w:color w:val="auto"/>
        <w:w w:val="100"/>
        <w:sz w:val="21"/>
        <w:szCs w:val="21"/>
        <w:u w:val="none"/>
      </w:rPr>
    </w:lvl>
    <w:lvl w:ilvl="5" w:tentative="0">
      <w:start w:val="1"/>
      <w:numFmt w:val="decimal"/>
      <w:suff w:val="space"/>
      <w:lvlText w:val="%1.%2.%3.%4.%5.%6"/>
      <w:lvlJc w:val="left"/>
      <w:pPr>
        <w:tabs>
          <w:tab w:val="left" w:pos="420"/>
        </w:tabs>
        <w:ind w:left="0" w:firstLine="0"/>
      </w:pPr>
      <w:rPr>
        <w:rFonts w:hint="eastAsia" w:ascii="宋体" w:hAnsi="宋体" w:eastAsia="宋体"/>
        <w:b/>
        <w:bCs/>
        <w:i w:val="0"/>
        <w:iCs w:val="0"/>
        <w:vanish w:val="0"/>
        <w:color w:val="auto"/>
        <w:w w:val="100"/>
        <w:sz w:val="21"/>
        <w:szCs w:val="21"/>
        <w:u w:val="none"/>
      </w:rPr>
    </w:lvl>
    <w:lvl w:ilvl="6" w:tentative="0">
      <w:start w:val="1"/>
      <w:numFmt w:val="decimal"/>
      <w:suff w:val="space"/>
      <w:lvlText w:val="%1.%2.%3.%4.%5.%6.%7"/>
      <w:lvlJc w:val="left"/>
      <w:pPr>
        <w:tabs>
          <w:tab w:val="left" w:pos="420"/>
        </w:tabs>
        <w:ind w:left="0" w:firstLine="0"/>
      </w:pPr>
      <w:rPr>
        <w:rFonts w:hint="eastAsia" w:ascii="宋体" w:hAnsi="宋体" w:eastAsia="宋体"/>
        <w:b/>
        <w:bCs/>
        <w:i w:val="0"/>
        <w:iCs w:val="0"/>
        <w:vanish w:val="0"/>
        <w:color w:val="auto"/>
        <w:w w:val="100"/>
        <w:sz w:val="21"/>
        <w:szCs w:val="21"/>
        <w:u w:val="none"/>
      </w:rPr>
    </w:lvl>
    <w:lvl w:ilvl="7" w:tentative="0">
      <w:start w:val="1"/>
      <w:numFmt w:val="decimal"/>
      <w:suff w:val="space"/>
      <w:lvlText w:val="%1.%2.%3.%4.%5.%6.%7.%8"/>
      <w:lvlJc w:val="left"/>
      <w:pPr>
        <w:tabs>
          <w:tab w:val="left" w:pos="420"/>
        </w:tabs>
        <w:ind w:left="0" w:firstLine="0"/>
      </w:pPr>
      <w:rPr>
        <w:rFonts w:hint="eastAsia" w:ascii="宋体" w:hAnsi="宋体" w:eastAsia="宋体"/>
        <w:b/>
        <w:bCs/>
        <w:i w:val="0"/>
        <w:iCs w:val="0"/>
        <w:vanish w:val="0"/>
        <w:color w:val="auto"/>
        <w:w w:val="100"/>
        <w:sz w:val="21"/>
        <w:szCs w:val="21"/>
        <w:u w:val="none"/>
      </w:rPr>
    </w:lvl>
    <w:lvl w:ilvl="8" w:tentative="0">
      <w:start w:val="1"/>
      <w:numFmt w:val="decimal"/>
      <w:suff w:val="space"/>
      <w:lvlText w:val="%1.%2.%3.%4.%5.%6.%7.%8.%9"/>
      <w:lvlJc w:val="left"/>
      <w:pPr>
        <w:tabs>
          <w:tab w:val="left" w:pos="420"/>
        </w:tabs>
        <w:ind w:left="0" w:firstLine="0"/>
      </w:pPr>
      <w:rPr>
        <w:rFonts w:hint="eastAsia" w:ascii="宋体" w:hAnsi="宋体" w:eastAsia="宋体"/>
        <w:b/>
        <w:bCs/>
        <w:i w:val="0"/>
        <w:iCs w:val="0"/>
        <w:vanish w:val="0"/>
        <w:color w:val="auto"/>
        <w:w w:val="100"/>
        <w:sz w:val="21"/>
        <w:szCs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72241"/>
    <w:rsid w:val="00AA27D4"/>
    <w:rsid w:val="00C54EEA"/>
    <w:rsid w:val="00C835ED"/>
    <w:rsid w:val="010F3DDD"/>
    <w:rsid w:val="011F5BCA"/>
    <w:rsid w:val="015841B4"/>
    <w:rsid w:val="019E71BD"/>
    <w:rsid w:val="01AE6F5A"/>
    <w:rsid w:val="01E00C12"/>
    <w:rsid w:val="02160E34"/>
    <w:rsid w:val="021B6257"/>
    <w:rsid w:val="02407E37"/>
    <w:rsid w:val="03C5417D"/>
    <w:rsid w:val="04360B78"/>
    <w:rsid w:val="04B679C3"/>
    <w:rsid w:val="050801B0"/>
    <w:rsid w:val="0661613A"/>
    <w:rsid w:val="06D36447"/>
    <w:rsid w:val="073950D5"/>
    <w:rsid w:val="080F63D8"/>
    <w:rsid w:val="08E505F2"/>
    <w:rsid w:val="09341458"/>
    <w:rsid w:val="099514A1"/>
    <w:rsid w:val="09FF7F32"/>
    <w:rsid w:val="0A1B1481"/>
    <w:rsid w:val="0AAE6AAB"/>
    <w:rsid w:val="0B0912D7"/>
    <w:rsid w:val="0CE74E21"/>
    <w:rsid w:val="0F040B48"/>
    <w:rsid w:val="0F2C0D68"/>
    <w:rsid w:val="11C934C6"/>
    <w:rsid w:val="11EC625E"/>
    <w:rsid w:val="13462986"/>
    <w:rsid w:val="1447025F"/>
    <w:rsid w:val="14497071"/>
    <w:rsid w:val="14587791"/>
    <w:rsid w:val="15103CF8"/>
    <w:rsid w:val="152206F7"/>
    <w:rsid w:val="152D2DCA"/>
    <w:rsid w:val="1573530D"/>
    <w:rsid w:val="15886EF0"/>
    <w:rsid w:val="15F20827"/>
    <w:rsid w:val="17F16F56"/>
    <w:rsid w:val="18043C49"/>
    <w:rsid w:val="181C76BE"/>
    <w:rsid w:val="18CB4BF2"/>
    <w:rsid w:val="192E664C"/>
    <w:rsid w:val="195436E9"/>
    <w:rsid w:val="19DD1972"/>
    <w:rsid w:val="1A022DD1"/>
    <w:rsid w:val="1A5250C1"/>
    <w:rsid w:val="1B5662F7"/>
    <w:rsid w:val="1B903DB2"/>
    <w:rsid w:val="1BCA18AE"/>
    <w:rsid w:val="1C141F86"/>
    <w:rsid w:val="1C4B037C"/>
    <w:rsid w:val="1DEC284C"/>
    <w:rsid w:val="1E6523AC"/>
    <w:rsid w:val="1F4432CB"/>
    <w:rsid w:val="1F96780D"/>
    <w:rsid w:val="1FE110E4"/>
    <w:rsid w:val="208C3A47"/>
    <w:rsid w:val="2211015F"/>
    <w:rsid w:val="221C31F5"/>
    <w:rsid w:val="22440422"/>
    <w:rsid w:val="22852558"/>
    <w:rsid w:val="23D3570C"/>
    <w:rsid w:val="2431259B"/>
    <w:rsid w:val="24393D5E"/>
    <w:rsid w:val="24542A4B"/>
    <w:rsid w:val="252B18FB"/>
    <w:rsid w:val="25BC0296"/>
    <w:rsid w:val="25F72AEE"/>
    <w:rsid w:val="27160325"/>
    <w:rsid w:val="273A74F0"/>
    <w:rsid w:val="27DE367B"/>
    <w:rsid w:val="282C4413"/>
    <w:rsid w:val="2928532F"/>
    <w:rsid w:val="2A182153"/>
    <w:rsid w:val="2A1C1FC5"/>
    <w:rsid w:val="2A2E7855"/>
    <w:rsid w:val="2B2E72AB"/>
    <w:rsid w:val="2B420351"/>
    <w:rsid w:val="2C2379BF"/>
    <w:rsid w:val="2D5C67E7"/>
    <w:rsid w:val="2F6F1730"/>
    <w:rsid w:val="2FC920C5"/>
    <w:rsid w:val="31690CD8"/>
    <w:rsid w:val="31A15F24"/>
    <w:rsid w:val="31C30C1A"/>
    <w:rsid w:val="32FE6D0F"/>
    <w:rsid w:val="3307777B"/>
    <w:rsid w:val="33B5109B"/>
    <w:rsid w:val="34CA4696"/>
    <w:rsid w:val="361A0BB1"/>
    <w:rsid w:val="36843254"/>
    <w:rsid w:val="36DB46CF"/>
    <w:rsid w:val="395347B5"/>
    <w:rsid w:val="397F3FCC"/>
    <w:rsid w:val="39A232A0"/>
    <w:rsid w:val="39E745AA"/>
    <w:rsid w:val="3AD574BB"/>
    <w:rsid w:val="3B5A6BBB"/>
    <w:rsid w:val="3CC65204"/>
    <w:rsid w:val="3CF84984"/>
    <w:rsid w:val="3D1B7D49"/>
    <w:rsid w:val="3E677953"/>
    <w:rsid w:val="3E840C6A"/>
    <w:rsid w:val="3EDA13A6"/>
    <w:rsid w:val="3F7C3FDA"/>
    <w:rsid w:val="3F9F14DB"/>
    <w:rsid w:val="42522227"/>
    <w:rsid w:val="42F058B7"/>
    <w:rsid w:val="433648BA"/>
    <w:rsid w:val="436109F6"/>
    <w:rsid w:val="4373436C"/>
    <w:rsid w:val="43907DBC"/>
    <w:rsid w:val="43CE2BEC"/>
    <w:rsid w:val="441A38D4"/>
    <w:rsid w:val="453D10EC"/>
    <w:rsid w:val="46634788"/>
    <w:rsid w:val="47D3046F"/>
    <w:rsid w:val="48041351"/>
    <w:rsid w:val="481D74FB"/>
    <w:rsid w:val="488E42C9"/>
    <w:rsid w:val="4A672C72"/>
    <w:rsid w:val="4ABB034A"/>
    <w:rsid w:val="4AF562BD"/>
    <w:rsid w:val="4B9B3A30"/>
    <w:rsid w:val="4BC77339"/>
    <w:rsid w:val="4C164D19"/>
    <w:rsid w:val="4C9236C5"/>
    <w:rsid w:val="4CC53CC9"/>
    <w:rsid w:val="4DB5279C"/>
    <w:rsid w:val="4E1E12E3"/>
    <w:rsid w:val="4ECD34CC"/>
    <w:rsid w:val="4ED533A1"/>
    <w:rsid w:val="501C2E48"/>
    <w:rsid w:val="505C172E"/>
    <w:rsid w:val="517B1258"/>
    <w:rsid w:val="5216783C"/>
    <w:rsid w:val="52500439"/>
    <w:rsid w:val="52710CF1"/>
    <w:rsid w:val="52990A6C"/>
    <w:rsid w:val="52C12107"/>
    <w:rsid w:val="52F46F0B"/>
    <w:rsid w:val="534C3A03"/>
    <w:rsid w:val="53877224"/>
    <w:rsid w:val="53C56327"/>
    <w:rsid w:val="53D8014D"/>
    <w:rsid w:val="53E105FA"/>
    <w:rsid w:val="54101A0E"/>
    <w:rsid w:val="54514F6B"/>
    <w:rsid w:val="55E064E0"/>
    <w:rsid w:val="56AE1D8C"/>
    <w:rsid w:val="572C6D10"/>
    <w:rsid w:val="57940BED"/>
    <w:rsid w:val="581A015D"/>
    <w:rsid w:val="583A4DC5"/>
    <w:rsid w:val="585B0F82"/>
    <w:rsid w:val="59343DA7"/>
    <w:rsid w:val="59445BC2"/>
    <w:rsid w:val="599F500A"/>
    <w:rsid w:val="5ACC7739"/>
    <w:rsid w:val="5B844050"/>
    <w:rsid w:val="5C184F01"/>
    <w:rsid w:val="5D512D7C"/>
    <w:rsid w:val="5D835179"/>
    <w:rsid w:val="5DC34279"/>
    <w:rsid w:val="5E6E07BC"/>
    <w:rsid w:val="5E773BED"/>
    <w:rsid w:val="5EB6245F"/>
    <w:rsid w:val="5FC42B50"/>
    <w:rsid w:val="5FFE4F19"/>
    <w:rsid w:val="6004528C"/>
    <w:rsid w:val="608816D1"/>
    <w:rsid w:val="60EF4E7F"/>
    <w:rsid w:val="61455008"/>
    <w:rsid w:val="6174529F"/>
    <w:rsid w:val="62362426"/>
    <w:rsid w:val="6251059A"/>
    <w:rsid w:val="6370472C"/>
    <w:rsid w:val="63733267"/>
    <w:rsid w:val="63FD1752"/>
    <w:rsid w:val="664B3280"/>
    <w:rsid w:val="665233C1"/>
    <w:rsid w:val="670E76AF"/>
    <w:rsid w:val="67451BAE"/>
    <w:rsid w:val="67B24991"/>
    <w:rsid w:val="67C1315A"/>
    <w:rsid w:val="68BC5DA0"/>
    <w:rsid w:val="69A571BA"/>
    <w:rsid w:val="6AD9688B"/>
    <w:rsid w:val="6BCE72D2"/>
    <w:rsid w:val="6CAC71E4"/>
    <w:rsid w:val="6D0E3F22"/>
    <w:rsid w:val="6D303D08"/>
    <w:rsid w:val="6DBC77E8"/>
    <w:rsid w:val="6E845B51"/>
    <w:rsid w:val="6ED60212"/>
    <w:rsid w:val="6F360F3E"/>
    <w:rsid w:val="6FCF00AA"/>
    <w:rsid w:val="701D6125"/>
    <w:rsid w:val="717C3997"/>
    <w:rsid w:val="72E17E80"/>
    <w:rsid w:val="73C14A57"/>
    <w:rsid w:val="73EB5B88"/>
    <w:rsid w:val="749609C5"/>
    <w:rsid w:val="75423411"/>
    <w:rsid w:val="754B74E1"/>
    <w:rsid w:val="75D30027"/>
    <w:rsid w:val="75DD3F3C"/>
    <w:rsid w:val="768C48B4"/>
    <w:rsid w:val="76CE1AEE"/>
    <w:rsid w:val="77327CAF"/>
    <w:rsid w:val="77357A13"/>
    <w:rsid w:val="783A023D"/>
    <w:rsid w:val="78947BD8"/>
    <w:rsid w:val="7A715070"/>
    <w:rsid w:val="7A901095"/>
    <w:rsid w:val="7BA8267B"/>
    <w:rsid w:val="7C5611AA"/>
    <w:rsid w:val="7C9011D9"/>
    <w:rsid w:val="7CB37580"/>
    <w:rsid w:val="7CB86D7F"/>
    <w:rsid w:val="7DC651C5"/>
    <w:rsid w:val="7E207132"/>
    <w:rsid w:val="7F087623"/>
    <w:rsid w:val="7F617B36"/>
    <w:rsid w:val="7FCC2834"/>
    <w:rsid w:val="7FEC47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next w:val="1"/>
    <w:qFormat/>
    <w:uiPriority w:val="9"/>
    <w:pPr>
      <w:keepNext/>
      <w:keepLines/>
      <w:widowControl w:val="0"/>
      <w:numPr>
        <w:ilvl w:val="0"/>
        <w:numId w:val="1"/>
      </w:numPr>
      <w:spacing w:before="340" w:beforeLines="50" w:after="330" w:afterLines="50" w:line="360" w:lineRule="auto"/>
      <w:ind w:firstLine="40" w:firstLineChars="0"/>
      <w:jc w:val="left"/>
      <w:outlineLvl w:val="0"/>
    </w:pPr>
    <w:rPr>
      <w:rFonts w:ascii="宋体" w:hAnsi="宋体" w:eastAsia="宋体" w:cs="宋体"/>
      <w:b/>
      <w:bCs/>
      <w:kern w:val="44"/>
      <w:sz w:val="28"/>
      <w:szCs w:val="28"/>
      <w:lang w:val="en-US" w:eastAsia="zh-CN" w:bidi="ar-SA"/>
    </w:rPr>
  </w:style>
  <w:style w:type="paragraph" w:styleId="4">
    <w:name w:val="heading 2"/>
    <w:next w:val="1"/>
    <w:unhideWhenUsed/>
    <w:qFormat/>
    <w:uiPriority w:val="9"/>
    <w:pPr>
      <w:keepNext/>
      <w:keepLines/>
      <w:widowControl w:val="0"/>
      <w:numPr>
        <w:ilvl w:val="1"/>
        <w:numId w:val="1"/>
      </w:numPr>
      <w:spacing w:before="260" w:beforeLines="50" w:after="260" w:afterLines="50" w:line="360" w:lineRule="auto"/>
      <w:ind w:firstLine="40" w:firstLineChars="0"/>
      <w:jc w:val="left"/>
      <w:outlineLvl w:val="1"/>
    </w:pPr>
    <w:rPr>
      <w:rFonts w:ascii="宋体" w:hAnsi="宋体" w:eastAsia="宋体" w:cs="宋体"/>
      <w:b/>
      <w:bCs/>
      <w:kern w:val="0"/>
      <w:sz w:val="24"/>
      <w:szCs w:val="24"/>
      <w:lang w:val="en-US" w:eastAsia="zh-CN" w:bidi="ar-SA"/>
    </w:rPr>
  </w:style>
  <w:style w:type="paragraph" w:styleId="5">
    <w:name w:val="heading 3"/>
    <w:next w:val="1"/>
    <w:unhideWhenUsed/>
    <w:qFormat/>
    <w:uiPriority w:val="9"/>
    <w:pPr>
      <w:keepNext/>
      <w:keepLines/>
      <w:widowControl w:val="0"/>
      <w:numPr>
        <w:ilvl w:val="2"/>
        <w:numId w:val="1"/>
      </w:numPr>
      <w:spacing w:before="260" w:beforeLines="50" w:after="260" w:afterLines="50" w:line="360" w:lineRule="auto"/>
      <w:ind w:firstLine="40" w:firstLineChars="0"/>
      <w:jc w:val="left"/>
      <w:outlineLvl w:val="2"/>
    </w:pPr>
    <w:rPr>
      <w:rFonts w:ascii="宋体" w:hAnsi="宋体" w:eastAsia="宋体" w:cs="宋体"/>
      <w:b/>
      <w:bCs/>
      <w:kern w:val="0"/>
      <w:sz w:val="24"/>
      <w:szCs w:val="24"/>
      <w:lang w:val="en-US" w:eastAsia="zh-CN" w:bidi="ar-SA"/>
    </w:rPr>
  </w:style>
  <w:style w:type="paragraph" w:styleId="6">
    <w:name w:val="heading 4"/>
    <w:next w:val="1"/>
    <w:unhideWhenUsed/>
    <w:qFormat/>
    <w:uiPriority w:val="9"/>
    <w:pPr>
      <w:keepNext/>
      <w:keepLines/>
      <w:widowControl w:val="0"/>
      <w:numPr>
        <w:ilvl w:val="3"/>
        <w:numId w:val="1"/>
      </w:numPr>
      <w:spacing w:before="280" w:beforeLines="50" w:after="290" w:afterLines="50" w:line="360" w:lineRule="auto"/>
      <w:ind w:firstLine="40" w:firstLineChars="0"/>
      <w:jc w:val="left"/>
      <w:outlineLvl w:val="3"/>
    </w:pPr>
    <w:rPr>
      <w:rFonts w:ascii="宋体" w:hAnsi="宋体" w:eastAsia="宋体" w:cs="宋体"/>
      <w:b/>
      <w:bCs/>
      <w:kern w:val="0"/>
      <w:sz w:val="21"/>
      <w:szCs w:val="21"/>
      <w:lang w:val="en-US" w:eastAsia="zh-CN" w:bidi="ar-SA"/>
    </w:rPr>
  </w:style>
  <w:style w:type="paragraph" w:styleId="7">
    <w:name w:val="heading 5"/>
    <w:next w:val="1"/>
    <w:unhideWhenUsed/>
    <w:qFormat/>
    <w:uiPriority w:val="9"/>
    <w:pPr>
      <w:keepNext/>
      <w:keepLines/>
      <w:widowControl w:val="0"/>
      <w:numPr>
        <w:ilvl w:val="4"/>
        <w:numId w:val="1"/>
      </w:numPr>
      <w:spacing w:before="280" w:beforeLines="50" w:after="290" w:afterLines="50" w:line="360" w:lineRule="auto"/>
      <w:ind w:firstLine="40" w:firstLineChars="0"/>
      <w:jc w:val="left"/>
      <w:outlineLvl w:val="4"/>
    </w:pPr>
    <w:rPr>
      <w:rFonts w:ascii="宋体" w:hAnsi="宋体" w:eastAsia="宋体" w:cs="宋体"/>
      <w:b/>
      <w:bCs/>
      <w:kern w:val="2"/>
      <w:sz w:val="21"/>
      <w:szCs w:val="21"/>
      <w:lang w:val="en-US" w:eastAsia="zh-CN" w:bidi="ar-SA"/>
    </w:rPr>
  </w:style>
  <w:style w:type="character" w:default="1" w:styleId="16">
    <w:name w:val="Default Paragraph Font"/>
    <w:semiHidden/>
    <w:qFormat/>
    <w:uiPriority w:val="0"/>
  </w:style>
  <w:style w:type="table" w:default="1" w:styleId="17">
    <w:name w:val="Normal Table"/>
    <w:semiHidden/>
    <w:qFormat/>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annotation text"/>
    <w:basedOn w:val="1"/>
    <w:qFormat/>
    <w:uiPriority w:val="0"/>
    <w:pPr>
      <w:jc w:val="left"/>
    </w:pPr>
  </w:style>
  <w:style w:type="paragraph" w:styleId="9">
    <w:name w:val="Body Text"/>
    <w:unhideWhenUsed/>
    <w:qFormat/>
    <w:uiPriority w:val="99"/>
    <w:pPr>
      <w:widowControl w:val="0"/>
      <w:spacing w:before="43" w:line="360" w:lineRule="auto"/>
      <w:ind w:left="1040" w:firstLine="40" w:firstLineChars="200"/>
      <w:jc w:val="both"/>
    </w:pPr>
    <w:rPr>
      <w:rFonts w:ascii="宋体" w:hAnsi="宋体" w:eastAsia="宋体" w:cs="宋体"/>
      <w:kern w:val="2"/>
      <w:sz w:val="21"/>
      <w:szCs w:val="21"/>
      <w:lang w:val="en-US" w:eastAsia="en-US" w:bidi="en-US"/>
    </w:rPr>
  </w:style>
  <w:style w:type="paragraph" w:styleId="10">
    <w:name w:val="toc 3"/>
    <w:next w:val="1"/>
    <w:unhideWhenUsed/>
    <w:qFormat/>
    <w:uiPriority w:val="39"/>
    <w:pPr>
      <w:widowControl w:val="0"/>
      <w:spacing w:line="360" w:lineRule="auto"/>
      <w:ind w:left="840" w:leftChars="400" w:firstLine="40" w:firstLineChars="200"/>
      <w:jc w:val="both"/>
    </w:pPr>
    <w:rPr>
      <w:rFonts w:ascii="宋体" w:hAnsi="宋体" w:eastAsia="宋体" w:cs="宋体"/>
      <w:kern w:val="2"/>
      <w:sz w:val="21"/>
      <w:szCs w:val="21"/>
      <w:lang w:val="en-US" w:eastAsia="zh-CN" w:bidi="ar-SA"/>
    </w:r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3">
    <w:name w:val="toc 1"/>
    <w:next w:val="1"/>
    <w:unhideWhenUsed/>
    <w:qFormat/>
    <w:uiPriority w:val="39"/>
    <w:pPr>
      <w:widowControl w:val="0"/>
      <w:spacing w:line="360" w:lineRule="auto"/>
      <w:ind w:firstLine="40" w:firstLineChars="200"/>
      <w:jc w:val="both"/>
    </w:pPr>
    <w:rPr>
      <w:rFonts w:ascii="宋体" w:hAnsi="宋体" w:eastAsia="宋体" w:cs="宋体"/>
      <w:kern w:val="2"/>
      <w:sz w:val="21"/>
      <w:szCs w:val="21"/>
      <w:lang w:val="en-US" w:eastAsia="zh-CN" w:bidi="ar-SA"/>
    </w:rPr>
  </w:style>
  <w:style w:type="paragraph" w:styleId="14">
    <w:name w:val="toc 4"/>
    <w:next w:val="1"/>
    <w:unhideWhenUsed/>
    <w:qFormat/>
    <w:uiPriority w:val="39"/>
    <w:pPr>
      <w:widowControl w:val="0"/>
      <w:spacing w:line="360" w:lineRule="auto"/>
      <w:ind w:left="1260" w:leftChars="600" w:firstLine="40" w:firstLineChars="200"/>
      <w:jc w:val="both"/>
    </w:pPr>
    <w:rPr>
      <w:rFonts w:ascii="宋体" w:hAnsi="宋体" w:eastAsia="宋体" w:cs="宋体"/>
      <w:kern w:val="2"/>
      <w:sz w:val="21"/>
      <w:szCs w:val="21"/>
      <w:lang w:val="en-US" w:eastAsia="zh-CN" w:bidi="ar-SA"/>
    </w:rPr>
  </w:style>
  <w:style w:type="paragraph" w:styleId="15">
    <w:name w:val="toc 2"/>
    <w:next w:val="1"/>
    <w:unhideWhenUsed/>
    <w:qFormat/>
    <w:uiPriority w:val="39"/>
    <w:pPr>
      <w:widowControl w:val="0"/>
      <w:spacing w:line="360" w:lineRule="auto"/>
      <w:ind w:left="420" w:leftChars="200" w:firstLine="40" w:firstLineChars="200"/>
      <w:jc w:val="both"/>
    </w:pPr>
    <w:rPr>
      <w:rFonts w:ascii="宋体" w:hAnsi="宋体" w:eastAsia="宋体" w:cs="宋体"/>
      <w:kern w:val="2"/>
      <w:sz w:val="21"/>
      <w:szCs w:val="21"/>
      <w:lang w:val="en-US" w:eastAsia="zh-CN" w:bidi="ar-SA"/>
    </w:rPr>
  </w:style>
  <w:style w:type="paragraph" w:customStyle="1" w:styleId="18">
    <w:name w:val="TOC 标题1"/>
    <w:next w:val="1"/>
    <w:unhideWhenUsed/>
    <w:qFormat/>
    <w:uiPriority w:val="39"/>
    <w:pPr>
      <w:keepNext/>
      <w:keepLines/>
      <w:widowControl/>
      <w:numPr>
        <w:ilvl w:val="0"/>
        <w:numId w:val="0"/>
      </w:numPr>
      <w:spacing w:before="240" w:beforeLines="0" w:after="0" w:afterLines="0" w:line="259" w:lineRule="auto"/>
      <w:ind w:firstLine="40" w:firstLineChars="0"/>
      <w:jc w:val="left"/>
      <w:outlineLvl w:val="9"/>
    </w:pPr>
    <w:rPr>
      <w:rFonts w:ascii="Cambria" w:hAnsi="Cambria" w:eastAsia="宋体" w:cs="Times New Roman"/>
      <w:color w:val="366091"/>
      <w:kern w:val="0"/>
      <w:sz w:val="32"/>
      <w:szCs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甫春莲</cp:lastModifiedBy>
  <cp:lastPrinted>2021-10-26T03:30:00Z</cp:lastPrinted>
  <dcterms:modified xsi:type="dcterms:W3CDTF">2021-12-23T11:22:24Z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ICV">
    <vt:lpwstr>48C61CB29D3F4D9384F5922CF0F7FFB4</vt:lpwstr>
  </property>
</Properties>
</file>