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i w:val="0"/>
          <w:caps w:val="0"/>
          <w:color w:val="333333"/>
          <w:spacing w:val="0"/>
          <w:kern w:val="2"/>
          <w:sz w:val="44"/>
          <w:szCs w:val="44"/>
          <w:shd w:val="clear" w:fill="FFFFFF"/>
          <w:lang w:val="en-US" w:eastAsia="zh-CN" w:bidi="ar-SA"/>
        </w:rPr>
      </w:pPr>
    </w:p>
    <w:p>
      <w:pPr>
        <w:pStyle w:val="2"/>
        <w:jc w:val="center"/>
        <w:rPr>
          <w:rFonts w:hint="eastAsia" w:ascii="宋体" w:hAnsi="宋体" w:eastAsia="宋体" w:cs="宋体"/>
          <w:i w:val="0"/>
          <w:caps w:val="0"/>
          <w:color w:val="333333"/>
          <w:spacing w:val="0"/>
          <w:kern w:val="2"/>
          <w:sz w:val="44"/>
          <w:szCs w:val="44"/>
          <w:shd w:val="clear" w:fill="FFFFFF"/>
          <w:lang w:val="en-US" w:eastAsia="zh-CN" w:bidi="ar-SA"/>
        </w:rPr>
      </w:pPr>
    </w:p>
    <w:p>
      <w:pPr>
        <w:pStyle w:val="2"/>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云南省医疗保障局 云南省财政厅 云南省卫生健康委 云南省药监局关于印发《云南省贯彻落实国家医疗保障局 财政部 国家卫生健康委 国家药监局完善城乡居民高血压糖尿病门诊用药保障机制指导意见实施方案》的通知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云医保〔2019〕123号</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各州（市）医疗保障局、财政局、卫生健康委、药监局：</w:t>
      </w:r>
    </w:p>
    <w:p>
      <w:pPr>
        <w:pStyle w:val="2"/>
        <w:ind w:firstLine="640" w:firstLineChars="200"/>
        <w:jc w:val="both"/>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为贯彻落实《国家医疗保障局  财政部  国家卫生健康委  国家药监局关于完善城乡居民高血压糖尿病门诊用药保障机制的指导意见》（医保发〔2019〕54号）要求，完善全省城乡居民基本医疗保险高血压、糖尿病门诊用药保障，现将《云南省贯彻落实国家医疗保障局 财政部 国家卫生健康委 国家药监局完善城乡居民高血压糖尿病门诊用药保障机制指导意见实施方案》印发给你们，请认真遵照执行。</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云南省医疗保障局                云南省财政厅</w:t>
      </w:r>
      <w:bookmarkStart w:id="0" w:name="_GoBack"/>
      <w:bookmarkEnd w:id="0"/>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云南省卫生健康委                云南省药监局</w:t>
      </w:r>
    </w:p>
    <w:p>
      <w:pPr>
        <w:pStyle w:val="2"/>
        <w:keepNext w:val="0"/>
        <w:keepLines w:val="0"/>
        <w:pageBreakBefore w:val="0"/>
        <w:widowControl w:val="0"/>
        <w:kinsoku/>
        <w:wordWrap/>
        <w:overflowPunct/>
        <w:topLinePunct w:val="0"/>
        <w:autoSpaceDE w:val="0"/>
        <w:autoSpaceDN w:val="0"/>
        <w:bidi w:val="0"/>
        <w:adjustRightInd w:val="0"/>
        <w:snapToGrid/>
        <w:ind w:firstLine="5440" w:firstLineChars="17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2019年10月17日</w:t>
      </w:r>
    </w:p>
    <w:p>
      <w:pPr>
        <w:pStyle w:val="2"/>
        <w:rPr>
          <w:rFonts w:hint="eastAsia" w:ascii="宋体" w:hAnsi="宋体" w:eastAsia="宋体" w:cs="宋体"/>
          <w:i w:val="0"/>
          <w:caps w:val="0"/>
          <w:color w:val="333333"/>
          <w:spacing w:val="0"/>
          <w:kern w:val="2"/>
          <w:sz w:val="44"/>
          <w:szCs w:val="44"/>
          <w:shd w:val="clear" w:fill="FFFFFF"/>
          <w:lang w:val="en-US" w:eastAsia="zh-CN" w:bidi="ar-SA"/>
        </w:rPr>
      </w:pPr>
    </w:p>
    <w:p>
      <w:pPr>
        <w:pStyle w:val="2"/>
        <w:rPr>
          <w:rFonts w:hint="eastAsia" w:ascii="宋体" w:hAnsi="宋体" w:eastAsia="宋体" w:cs="宋体"/>
          <w:i w:val="0"/>
          <w:caps w:val="0"/>
          <w:color w:val="333333"/>
          <w:spacing w:val="0"/>
          <w:kern w:val="2"/>
          <w:sz w:val="44"/>
          <w:szCs w:val="44"/>
          <w:shd w:val="clear" w:fill="FFFFFF"/>
          <w:lang w:val="en-US" w:eastAsia="zh-CN" w:bidi="ar-SA"/>
        </w:rPr>
      </w:pPr>
    </w:p>
    <w:p>
      <w:pPr>
        <w:pStyle w:val="2"/>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云南省贯彻落实国家医疗保障局 财政部 国家卫生健康委 国家药监局完善城乡居民高血压糖尿病门诊用药保障机制指导意见实施方案</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为贯彻落实好《国家医疗保障局 财政部 国家卫生健康委 国家药监局关于完善城乡居民高血压糖尿病门诊用药保障机制的指导意见》（医保发〔2019〕54号，以下简称《指导意见》）要求，完善我省城乡居民基本医疗保险（以下简称“居民医保”）高血压糖尿病（以下简称“两病”）门诊用药保障，结合我省实际，特制定本实施方案。</w:t>
      </w:r>
    </w:p>
    <w:p>
      <w:pPr>
        <w:pStyle w:val="2"/>
        <w:ind w:firstLine="640" w:firstLineChars="200"/>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一、总体要求</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指导思想。以习近平新时代中国特色社会主义思想为指导，全面贯彻党的十九大和十九届二中、三中全会精神，按照“保基本、可持续、惠民生、推改革”的总体要求，坚持“既尽力而为、又量力而行”原则，从城乡居民的高血压、糖尿病入手，综合运用医保准入、价格、招采、支付等杠杆作用，探索完善慢性病门诊用药保障机制，增强城乡居民医保门诊保障能力，减轻患者门诊用药费用负担，不断提升人民群众获得感、幸福感、安全感。</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（二）目标任务。自2019年11月1日起，通过依托二级及以下基层医疗机构，统筹“两病”用药支付、用药成本、用药规范、用药供应各环节，继续落实《云南省人力资源和社会保障厅 云南省卫生和计划生育委员会关于统一城乡居民基本医疗保险待遇有关问题的通知》（云人社发〔2016〕310号）“两病”门诊慢特病待遇，同步完善我省“两病”门诊用药保障机制，将未纳入门诊慢特病的“两病”患者降血压、降血糖用药纳入门诊统筹保障范围，政策范围内支付比例达到50%以上，实现城乡居民“两病”门诊用药成本总体可控、诊疗规范合理、基金安全可承受、群众减负得实惠。</w:t>
      </w:r>
    </w:p>
    <w:p>
      <w:pPr>
        <w:pStyle w:val="2"/>
        <w:ind w:firstLine="640" w:firstLineChars="200"/>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二、主要内容</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（一）保障对象。将参加居民医保，经规范诊断确诊为高血压、糖尿病，需要服用降血压、降血糖药品的“两病”患者纳入保障范围。</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用药范围。省级医疗保障部门根据目前城乡居民医保基金承受能力，按照《指导意见》要求的“优先选用目录甲类药品，优先选用国家基本药物，优先选用通过一致性评价的品种，优先选用集中招标采购中选药品”原则，在最新版国家医保用药目录中选取并公布药品保障范围，全省统一执行。</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（三）保障水平。以二级及以下定点基层医疗机构为依托，将“两病”参保患者医疗机构门诊发生的政策范围内降血压、降血糖药品费用纳入居民医保保障范围，政策范围内支付比例达到50%以上。具体为：</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1．各统筹区继续执行现有门诊慢特病政策，确保待遇水平不降低。</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2．对未纳入门诊慢特病保障范围，但需服用降血压、降血糖药物的“两病”参保患者，降血压、降血糖的药物纳入普通门诊支付范围，政策范围内支付比例50%。年度最高支付限额与普通门诊合并累计计算，不得低于400元。</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做好政策衔接。各统筹区要做好门诊慢特病与门诊用药保障政策衔接，对已经纳入门诊慢特病保障范围的“两病”患者，继续执行现有政策，确保待遇水平不降低。要做好门诊保障与住院保障的衔接，对能够在门诊治疗的“两病”，原则上不得收治住院，严格控制“两病”住院率，坚决防止“小病大养”“小病大治”“挤住院”的情况。城镇职工基本医疗保险“两病”继续执行现有政策。</w:t>
      </w:r>
    </w:p>
    <w:p>
      <w:pPr>
        <w:pStyle w:val="2"/>
        <w:ind w:firstLine="640" w:firstLineChars="200"/>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三、主要措施</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简化确认程序。各统筹区医保经办机构要按照“放管服”要求，简化“两病”确认程序，由原医保经办机构确认调整为定点医疗机构确认。经定点医疗机构具备资质的医师，按诊疗规范确诊为“两病”的参保患者，由确诊定点医疗机构根据诊断书办理备案。</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地卫生健康部门要督促定点医疗机构，对“两病”确诊、确认、备案、用药实行专人管理，严格诊疗规范，对症施治，避免过量或重复开药，防止不合理用药。高血压病根据《国家基层高血压防治管理指南（2017）》等技术规范进行确诊，糖尿病根据《国家基层糖尿病防治管理指南（2018）》等技术规范进行确诊，如国家修订“两病”管理指南以最新版为准，并根据《处方管理办法》开具用药处方。</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完善支付标准。从成本控制、合理用药和提高医保基金绩效角度，按通用名合理确定城乡居民“两病”用药医保支付标准并动态调整。对国家组织带量采购范围内的、我省集中采购中标的城乡居民“两病”用药，根据中标价格确定同通用名药品的医保支付标准。具备条件的地区，可根据“两病”参保患者就医和用药分布，开展按人头、按病种付费，并与按人头打包付费等相关改革措施衔接。完善支付标准的具体方案另行制定。</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做好“两病”用药招采工作。以控制用药成本为核心，落实国家组织药品集中采购和使用试点扩大区域范围工作，积极推进药品集中带量采购工作，以量换价、招采合一，切实降低“两病”药品费用，有效控制用药成本。对于临床用量较大、采购金额较高的“两病”用药，在省药品集中采购平台挂网价格的基础上，鼓励各地积极探索以联盟采购、医联体采购等形式开展带量谈判采购。做好“两病”用药招采工作的具体方案另行制定。</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保障药品供应和使用。各有关部门要确保药品质量和供应。医疗机构应根据病情，首先使用城乡居民“两病”采购中标药品，不得以费用控制、药占比、医疗机构用药品种规格数量要求、药事委员会审定等为由影响中选药品的供应保障与合理使用。有条件的地区，可探索第三方配送机制。落实完善“两病”门诊用药长处方制度，保障患者用药需求。“两病”用药不受基层用药限制。“两病”用药生产、配送企业必须保障基层医疗机构“两病”用药供应、配送及时，并向医保部门提供所供药品追溯信息，供应、配送情况纳入考核，与参与我省集中采购挂钩。</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五）规范经办服务。完善医保定点服务协议，将“两病”门诊用药保障服务纳入协议管理。坚持预防为主、防治结合，落实基层医疗机构和全科医师责任，加强“两病”患者健康教育和健康管理，提高群众防治疾病健康意识。突出医保经办在落实“两病”用药保障的关键作用，及时做好医保信息系统功能模块开发、测试和部署，按时兑现待遇，并建立健全“两病”用药保障运行统计分析制度，分别于次季度第一个月10日前，逐级向医疗保障行政部门上报运行情况。方便“两病”患者异地就医，实行省内“两病”异地门诊药品费用直接结算。</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六）加强基金监管。各级各部门要建立和健全监督举报、智能监控、信用管理等机制，要严格执行“两病”诊断标准，对放宽诊断标准、不按规范诊断的医师，一经核实，一律计入医师信用记录，年度考核不予评优。要加大“两病”住院情况监管力度，以“两病”为重点打击虚假住院、重复住院、挂床住院、不符合住院标准收治住院等行为，切实挤出“两病”不合理住院费用水份，把有限资金用于门诊用药保障。对利用“两病”套骗医保基金的参保人、医务人员和医疗机构，一经查实，依法依规严肃查处，涉及犯罪的坚决移交司法部门。</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（七）加强“两病”用药监管。探索构建以药品追溯信息为基础的“两病”用药监管体系，利用信息技术手段有效支撑我省“两病”用药监管工作，实现药品可追溯，用药可跟踪，服务可监管，质量可评价。</w:t>
      </w:r>
    </w:p>
    <w:p>
      <w:pPr>
        <w:pStyle w:val="2"/>
        <w:ind w:firstLine="640" w:firstLineChars="200"/>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四、组织实施</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（一）压实责任，确保待遇落实。各地要高度重视“两病”门诊用药保障工作，加强统筹协调，按照本实施方案认真组织实施，确保在2019年11月1日起兑现待遇。</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细化分工，加强协同配合。医疗保障行政部门要积极会同相关部门做好“两病”患者门诊用药保障工作，加强对各地的指导，密切跟踪工作进展。财政部门要积极参与“两病”用药保障有关工作，按规定保障所需工作经费。卫生健康部门要制定“两病”住院指征条件或专家共识，做好“两病”患者的健康管理，加强医疗服务行为监管，进一步健全完善“两病”用药指南和规范，规范诊疗行为，严格控制不合理用药、滥用辅助药、低标准住院治疗等情况，确保集中带量采购药品合理使用。药品监督管理等部门负责做好“两病”用药一致性评价审评和生产、流通、配送等环节的监督管理。</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积极宣传，合理引导预期。各地要坚持正确的舆论导向，准确解读相关政策，积极宣传“两病”门诊用药保障的重要意义，合理引导预期，防止过度承诺和过度宣传，同时做好其他慢性病患者工作，防止出现攀比，为“两病”门诊用药保障工作平稳推进，营造良好的社会氛围。</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各部门要各尽其责，密切配合，通力协作，及时研究解决新情况新问题，总结推广经验做法，不断完善“两病”门诊用药保障。</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ind w:left="1678" w:leftChars="304" w:hanging="1040" w:hangingChars="325"/>
        <w:jc w:val="both"/>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附件：国家医疗保障局 财政部 国家卫生健康委 国家药监局关于完善城乡居民高血压糖尿病门诊用药保障机制的指导意见</w:t>
      </w: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835ED"/>
    <w:rsid w:val="010F3DDD"/>
    <w:rsid w:val="011F5BCA"/>
    <w:rsid w:val="019E71BD"/>
    <w:rsid w:val="02160E34"/>
    <w:rsid w:val="021B6257"/>
    <w:rsid w:val="04360B78"/>
    <w:rsid w:val="04B679C3"/>
    <w:rsid w:val="050801B0"/>
    <w:rsid w:val="0661613A"/>
    <w:rsid w:val="06D36447"/>
    <w:rsid w:val="080F63D8"/>
    <w:rsid w:val="08E505F2"/>
    <w:rsid w:val="09341458"/>
    <w:rsid w:val="099514A1"/>
    <w:rsid w:val="09FF7F32"/>
    <w:rsid w:val="0AAE6AAB"/>
    <w:rsid w:val="0B0912D7"/>
    <w:rsid w:val="0F040B48"/>
    <w:rsid w:val="11C934C6"/>
    <w:rsid w:val="11EC625E"/>
    <w:rsid w:val="13462986"/>
    <w:rsid w:val="14497071"/>
    <w:rsid w:val="14587791"/>
    <w:rsid w:val="15103CF8"/>
    <w:rsid w:val="152206F7"/>
    <w:rsid w:val="152D2DCA"/>
    <w:rsid w:val="15886EF0"/>
    <w:rsid w:val="17F16F56"/>
    <w:rsid w:val="181C76BE"/>
    <w:rsid w:val="192E664C"/>
    <w:rsid w:val="195436E9"/>
    <w:rsid w:val="1A022DD1"/>
    <w:rsid w:val="1A5250C1"/>
    <w:rsid w:val="1B903DB2"/>
    <w:rsid w:val="1BCA18AE"/>
    <w:rsid w:val="1C141F86"/>
    <w:rsid w:val="1C4B037C"/>
    <w:rsid w:val="1DEC284C"/>
    <w:rsid w:val="1E6523AC"/>
    <w:rsid w:val="1F4432CB"/>
    <w:rsid w:val="1FE02CB4"/>
    <w:rsid w:val="208C3A47"/>
    <w:rsid w:val="221C31F5"/>
    <w:rsid w:val="22440422"/>
    <w:rsid w:val="22852558"/>
    <w:rsid w:val="2431259B"/>
    <w:rsid w:val="24542A4B"/>
    <w:rsid w:val="252B18FB"/>
    <w:rsid w:val="25BC0296"/>
    <w:rsid w:val="25F72AEE"/>
    <w:rsid w:val="273A74F0"/>
    <w:rsid w:val="2A1C1FC5"/>
    <w:rsid w:val="2B2E72AB"/>
    <w:rsid w:val="2B420351"/>
    <w:rsid w:val="2D5C67E7"/>
    <w:rsid w:val="2F6F1730"/>
    <w:rsid w:val="2FC920C5"/>
    <w:rsid w:val="31A15F24"/>
    <w:rsid w:val="32FE6D0F"/>
    <w:rsid w:val="3307777B"/>
    <w:rsid w:val="395347B5"/>
    <w:rsid w:val="39A232A0"/>
    <w:rsid w:val="39E745AA"/>
    <w:rsid w:val="3A2B74E0"/>
    <w:rsid w:val="3B5A6BBB"/>
    <w:rsid w:val="3CF84984"/>
    <w:rsid w:val="3E840C6A"/>
    <w:rsid w:val="3EDA13A6"/>
    <w:rsid w:val="3F7C3FDA"/>
    <w:rsid w:val="42522227"/>
    <w:rsid w:val="42F058B7"/>
    <w:rsid w:val="433648BA"/>
    <w:rsid w:val="436109F6"/>
    <w:rsid w:val="441A38D4"/>
    <w:rsid w:val="47D3046F"/>
    <w:rsid w:val="48041351"/>
    <w:rsid w:val="488E42C9"/>
    <w:rsid w:val="4A672C72"/>
    <w:rsid w:val="4ABB034A"/>
    <w:rsid w:val="4AF562BD"/>
    <w:rsid w:val="4B9B3A30"/>
    <w:rsid w:val="4BC77339"/>
    <w:rsid w:val="4C164D19"/>
    <w:rsid w:val="4C9236C5"/>
    <w:rsid w:val="4CC53CC9"/>
    <w:rsid w:val="4DB5279C"/>
    <w:rsid w:val="4ED533A1"/>
    <w:rsid w:val="501C2E48"/>
    <w:rsid w:val="505C172E"/>
    <w:rsid w:val="517B1258"/>
    <w:rsid w:val="52710CF1"/>
    <w:rsid w:val="52F46F0B"/>
    <w:rsid w:val="53D8014D"/>
    <w:rsid w:val="53E105FA"/>
    <w:rsid w:val="55E064E0"/>
    <w:rsid w:val="572C6D10"/>
    <w:rsid w:val="57940BED"/>
    <w:rsid w:val="585B0F82"/>
    <w:rsid w:val="59343DA7"/>
    <w:rsid w:val="59445BC2"/>
    <w:rsid w:val="5B18704E"/>
    <w:rsid w:val="5D835179"/>
    <w:rsid w:val="5DC34279"/>
    <w:rsid w:val="5FC42B50"/>
    <w:rsid w:val="6004528C"/>
    <w:rsid w:val="608816D1"/>
    <w:rsid w:val="60EF4E7F"/>
    <w:rsid w:val="61455008"/>
    <w:rsid w:val="62362426"/>
    <w:rsid w:val="645D35D9"/>
    <w:rsid w:val="665233C1"/>
    <w:rsid w:val="67B24991"/>
    <w:rsid w:val="6AD9688B"/>
    <w:rsid w:val="6CAC71E4"/>
    <w:rsid w:val="6D0E3F22"/>
    <w:rsid w:val="6DBC77E8"/>
    <w:rsid w:val="6E845B51"/>
    <w:rsid w:val="6F360F3E"/>
    <w:rsid w:val="6FCF00AA"/>
    <w:rsid w:val="701D6125"/>
    <w:rsid w:val="72E17E80"/>
    <w:rsid w:val="73C14A57"/>
    <w:rsid w:val="75423411"/>
    <w:rsid w:val="754B74E1"/>
    <w:rsid w:val="768C48B4"/>
    <w:rsid w:val="77327CAF"/>
    <w:rsid w:val="776A3FEE"/>
    <w:rsid w:val="7A901095"/>
    <w:rsid w:val="7BA8267B"/>
    <w:rsid w:val="7C5611AA"/>
    <w:rsid w:val="7C9011D9"/>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2021-12-23T11:18:57Z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