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《关于规范中医骨伤类和中医特殊疗法类医疗服务项目价格的通知（征求意见稿）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起草背景和过程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为构建内涵边界清晰、适应临床诊疗、便于评价监管的价格项目体系，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国家医保局印发的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中医骨伤类和中医特殊疗法类2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批医疗服务价格项目立项指南，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开展价格调查，充分征求部门、医疗机构意见，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与云南省现行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医疗服务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项目进行对接，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保持现行价格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水平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基本稳定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的原则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拟定省级基准价。起草形成《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关于规范中医骨伤类和中医特殊疗法类医疗服务项目价格的通知（征求意见稿）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整合规范云南省中医骨伤、中医特殊疗法类医疗服务价格项目，制定省级基准价（即昆明地区省级公立医疗机构最高限价），同步终止“先天性髋关节脱位手法复位石膏固定术”等相关医疗服务价格项目。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/>
    <w:sectPr>
      <w:pgSz w:w="11906" w:h="16838"/>
      <w:pgMar w:top="198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869A2"/>
    <w:rsid w:val="70EA74A3"/>
    <w:rsid w:val="FFFFE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宋体" w:hAns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 WWO_wpscloud_20220918143219-1a27aeaaab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2025-07-12T10:41:00Z</dcterms:created>
  <dc:creator>Administrator</dc:creator>
  <cp:lastModifiedBy>OA维护</cp:lastModifiedBy>
  <dcterms:modified xsi:type="dcterms:W3CDTF">2025-07-16T16:54:31Z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eyJoZGlkIjoiNTg3ZTAzNTJlNTIyMjg5ODUyYjRjZDZlNTFmZjMyOTAiLCJ1c2VySWQiOiI3NTE1NzcxOTQifQ==</vt:lpwstr>
  </property>
  <property fmtid="{D5CDD505-2E9C-101B-9397-08002B2CF9AE}" pid="4" name="ICV">
    <vt:lpwstr>0AFEFFC9C572444F9DF362E6C89DF48F_12</vt:lpwstr>
  </property>
</Properties>
</file>